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9CA30" w14:textId="63804EA2" w:rsidR="003D41E3" w:rsidRPr="00847724" w:rsidRDefault="00FC2DAD" w:rsidP="00FC2DAD">
      <w:pPr>
        <w:outlineLvl w:val="0"/>
        <w:rPr>
          <w:rFonts w:cs="Arial"/>
          <w:noProof/>
          <w:szCs w:val="20"/>
        </w:rPr>
      </w:pPr>
      <w:r w:rsidRPr="00847724">
        <w:rPr>
          <w:rFonts w:cs="Arial"/>
          <w:noProof/>
          <w:szCs w:val="20"/>
          <w:lang w:eastAsia="et-EE"/>
        </w:rPr>
        <w:drawing>
          <wp:anchor distT="0" distB="0" distL="114300" distR="114300" simplePos="0" relativeHeight="251662336" behindDoc="1" locked="0" layoutInCell="1" allowOverlap="1" wp14:anchorId="44D05CD7" wp14:editId="4C557DE2">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tbl>
      <w:tblPr>
        <w:tblW w:w="10640" w:type="dxa"/>
        <w:tblInd w:w="-147" w:type="dxa"/>
        <w:tblLook w:val="0000" w:firstRow="0" w:lastRow="0" w:firstColumn="0" w:lastColumn="0" w:noHBand="0" w:noVBand="0"/>
      </w:tblPr>
      <w:tblGrid>
        <w:gridCol w:w="4000"/>
        <w:gridCol w:w="1342"/>
        <w:gridCol w:w="1847"/>
        <w:gridCol w:w="661"/>
        <w:gridCol w:w="1833"/>
        <w:gridCol w:w="957"/>
      </w:tblGrid>
      <w:tr w:rsidR="000D7F91" w:rsidRPr="00847724" w14:paraId="0B7729E5" w14:textId="77777777" w:rsidTr="000D7F91">
        <w:trPr>
          <w:trHeight w:val="338"/>
        </w:trPr>
        <w:tc>
          <w:tcPr>
            <w:tcW w:w="4040" w:type="dxa"/>
            <w:vMerge w:val="restart"/>
          </w:tcPr>
          <w:p w14:paraId="78863DB8" w14:textId="43D675B8" w:rsidR="000D7F91" w:rsidRPr="00847724" w:rsidRDefault="009F47D7" w:rsidP="00770F75">
            <w:pPr>
              <w:autoSpaceDE w:val="0"/>
              <w:autoSpaceDN w:val="0"/>
              <w:adjustRightInd w:val="0"/>
              <w:spacing w:after="120"/>
              <w:rPr>
                <w:rFonts w:cs="Arial"/>
                <w:szCs w:val="20"/>
              </w:rPr>
            </w:pPr>
            <w:r w:rsidRPr="00847724">
              <w:rPr>
                <w:rFonts w:cs="Arial"/>
                <w:szCs w:val="20"/>
              </w:rPr>
              <w:t>Justiitsministeerium</w:t>
            </w:r>
          </w:p>
          <w:p w14:paraId="44B11717" w14:textId="5F8E1F7F" w:rsidR="009F47D7" w:rsidRPr="00847724" w:rsidRDefault="009F47D7" w:rsidP="00770F75">
            <w:pPr>
              <w:autoSpaceDE w:val="0"/>
              <w:autoSpaceDN w:val="0"/>
              <w:adjustRightInd w:val="0"/>
              <w:spacing w:after="120"/>
              <w:rPr>
                <w:rFonts w:cs="Arial"/>
                <w:szCs w:val="20"/>
              </w:rPr>
            </w:pPr>
          </w:p>
        </w:tc>
        <w:tc>
          <w:tcPr>
            <w:tcW w:w="1356" w:type="dxa"/>
          </w:tcPr>
          <w:p w14:paraId="58CFA5D8" w14:textId="47584C9A" w:rsidR="000D7F91" w:rsidRPr="00847724" w:rsidRDefault="00853630" w:rsidP="00853630">
            <w:pPr>
              <w:autoSpaceDE w:val="0"/>
              <w:autoSpaceDN w:val="0"/>
              <w:adjustRightInd w:val="0"/>
              <w:spacing w:after="120"/>
              <w:jc w:val="center"/>
              <w:rPr>
                <w:rFonts w:cs="Arial"/>
                <w:szCs w:val="20"/>
              </w:rPr>
            </w:pPr>
            <w:r w:rsidRPr="00847724">
              <w:rPr>
                <w:rFonts w:cs="Arial"/>
                <w:szCs w:val="20"/>
              </w:rPr>
              <w:t xml:space="preserve">            </w:t>
            </w:r>
            <w:r w:rsidR="000D7F91" w:rsidRPr="00847724">
              <w:rPr>
                <w:rFonts w:cs="Arial"/>
                <w:szCs w:val="20"/>
              </w:rPr>
              <w:t>Teie</w:t>
            </w:r>
          </w:p>
        </w:tc>
        <w:tc>
          <w:tcPr>
            <w:tcW w:w="1868" w:type="dxa"/>
            <w:shd w:val="clear" w:color="auto" w:fill="auto"/>
          </w:tcPr>
          <w:p w14:paraId="311A3D2A" w14:textId="540419F3" w:rsidR="000D7F91" w:rsidRPr="00847724" w:rsidRDefault="003A3813" w:rsidP="003A3813">
            <w:pPr>
              <w:spacing w:after="120"/>
              <w:jc w:val="right"/>
              <w:rPr>
                <w:rFonts w:cs="Arial"/>
                <w:szCs w:val="20"/>
              </w:rPr>
            </w:pPr>
            <w:r>
              <w:rPr>
                <w:rFonts w:cs="Arial"/>
                <w:szCs w:val="20"/>
              </w:rPr>
              <w:t>01.07.</w:t>
            </w:r>
          </w:p>
        </w:tc>
        <w:tc>
          <w:tcPr>
            <w:tcW w:w="554" w:type="dxa"/>
            <w:shd w:val="clear" w:color="auto" w:fill="auto"/>
          </w:tcPr>
          <w:p w14:paraId="56A94B19" w14:textId="05473361" w:rsidR="000D7F91" w:rsidRPr="003A3813" w:rsidRDefault="000D7F91" w:rsidP="00770F75">
            <w:pPr>
              <w:spacing w:after="120"/>
              <w:jc w:val="center"/>
              <w:rPr>
                <w:rFonts w:cs="Arial"/>
                <w:szCs w:val="20"/>
              </w:rPr>
            </w:pPr>
            <w:r w:rsidRPr="003A3813">
              <w:rPr>
                <w:rFonts w:cs="Arial"/>
                <w:szCs w:val="20"/>
              </w:rPr>
              <w:t>20</w:t>
            </w:r>
            <w:r w:rsidR="009B36F5" w:rsidRPr="003A3813">
              <w:rPr>
                <w:rFonts w:cs="Arial"/>
                <w:szCs w:val="20"/>
              </w:rPr>
              <w:t>24</w:t>
            </w:r>
          </w:p>
        </w:tc>
        <w:tc>
          <w:tcPr>
            <w:tcW w:w="1851" w:type="dxa"/>
            <w:shd w:val="clear" w:color="auto" w:fill="auto"/>
          </w:tcPr>
          <w:p w14:paraId="532DC1FA" w14:textId="4C45804F" w:rsidR="000D7F91" w:rsidRPr="003A3813" w:rsidRDefault="000D7F91" w:rsidP="00770F75">
            <w:pPr>
              <w:spacing w:after="120"/>
              <w:rPr>
                <w:rFonts w:cs="Arial"/>
                <w:szCs w:val="20"/>
              </w:rPr>
            </w:pPr>
            <w:r w:rsidRPr="003A3813">
              <w:rPr>
                <w:rFonts w:cs="Arial"/>
                <w:szCs w:val="20"/>
              </w:rPr>
              <w:t>a nr</w:t>
            </w:r>
            <w:r w:rsidR="003A3813" w:rsidRPr="003A3813">
              <w:rPr>
                <w:rFonts w:cs="Arial"/>
                <w:szCs w:val="20"/>
              </w:rPr>
              <w:t xml:space="preserve"> 8-3/5169-1</w:t>
            </w:r>
            <w:r w:rsidRPr="003A3813">
              <w:rPr>
                <w:rFonts w:cs="Arial"/>
                <w:szCs w:val="20"/>
              </w:rPr>
              <w:t xml:space="preserve"> </w:t>
            </w:r>
          </w:p>
        </w:tc>
        <w:tc>
          <w:tcPr>
            <w:tcW w:w="971" w:type="dxa"/>
            <w:tcBorders>
              <w:left w:val="nil"/>
            </w:tcBorders>
            <w:shd w:val="clear" w:color="auto" w:fill="auto"/>
          </w:tcPr>
          <w:p w14:paraId="1D77795A" w14:textId="77777777" w:rsidR="000D7F91" w:rsidRPr="00847724" w:rsidRDefault="000D7F91" w:rsidP="00770F75">
            <w:pPr>
              <w:spacing w:after="120"/>
              <w:rPr>
                <w:rFonts w:cs="Arial"/>
                <w:szCs w:val="20"/>
              </w:rPr>
            </w:pPr>
          </w:p>
        </w:tc>
      </w:tr>
      <w:tr w:rsidR="000D7F91" w:rsidRPr="00847724" w14:paraId="1E58ED1D" w14:textId="77777777" w:rsidTr="000D7F91">
        <w:trPr>
          <w:trHeight w:val="277"/>
        </w:trPr>
        <w:tc>
          <w:tcPr>
            <w:tcW w:w="4040" w:type="dxa"/>
            <w:vMerge/>
          </w:tcPr>
          <w:p w14:paraId="758EF281" w14:textId="77777777" w:rsidR="000D7F91" w:rsidRPr="00847724" w:rsidRDefault="000D7F91" w:rsidP="00770F75">
            <w:pPr>
              <w:autoSpaceDE w:val="0"/>
              <w:autoSpaceDN w:val="0"/>
              <w:adjustRightInd w:val="0"/>
              <w:spacing w:after="120"/>
              <w:rPr>
                <w:rFonts w:cs="Arial"/>
                <w:szCs w:val="20"/>
              </w:rPr>
            </w:pPr>
            <w:bookmarkStart w:id="0" w:name="_Hlk60063564"/>
          </w:p>
        </w:tc>
        <w:tc>
          <w:tcPr>
            <w:tcW w:w="1356" w:type="dxa"/>
          </w:tcPr>
          <w:p w14:paraId="07FA4789" w14:textId="5D2A2506" w:rsidR="000D7F91" w:rsidRPr="00847724" w:rsidRDefault="000D7F91" w:rsidP="00770F75">
            <w:pPr>
              <w:autoSpaceDE w:val="0"/>
              <w:autoSpaceDN w:val="0"/>
              <w:adjustRightInd w:val="0"/>
              <w:spacing w:after="120"/>
              <w:jc w:val="right"/>
              <w:rPr>
                <w:rFonts w:cs="Arial"/>
                <w:szCs w:val="20"/>
              </w:rPr>
            </w:pPr>
            <w:r w:rsidRPr="00847724">
              <w:rPr>
                <w:rFonts w:cs="Arial"/>
                <w:szCs w:val="20"/>
              </w:rPr>
              <w:t>Meie</w:t>
            </w:r>
            <w:r w:rsidR="003A3813">
              <w:rPr>
                <w:rFonts w:cs="Arial"/>
                <w:szCs w:val="20"/>
              </w:rPr>
              <w:t xml:space="preserve"> </w:t>
            </w:r>
          </w:p>
        </w:tc>
        <w:tc>
          <w:tcPr>
            <w:tcW w:w="1868" w:type="dxa"/>
            <w:shd w:val="clear" w:color="auto" w:fill="auto"/>
          </w:tcPr>
          <w:p w14:paraId="2797123C" w14:textId="7C11DCC3" w:rsidR="000D7F91" w:rsidRPr="00847724" w:rsidRDefault="003A3813" w:rsidP="00800289">
            <w:pPr>
              <w:spacing w:after="120"/>
              <w:jc w:val="right"/>
              <w:rPr>
                <w:rFonts w:cs="Arial"/>
                <w:szCs w:val="20"/>
              </w:rPr>
            </w:pPr>
            <w:r>
              <w:rPr>
                <w:rFonts w:cs="Arial"/>
                <w:szCs w:val="20"/>
              </w:rPr>
              <w:t>2</w:t>
            </w:r>
            <w:r w:rsidR="00F173BA">
              <w:rPr>
                <w:rFonts w:cs="Arial"/>
                <w:szCs w:val="20"/>
              </w:rPr>
              <w:t>3</w:t>
            </w:r>
            <w:r>
              <w:rPr>
                <w:rFonts w:cs="Arial"/>
                <w:szCs w:val="20"/>
              </w:rPr>
              <w:t>.09.</w:t>
            </w:r>
          </w:p>
        </w:tc>
        <w:tc>
          <w:tcPr>
            <w:tcW w:w="554" w:type="dxa"/>
            <w:shd w:val="clear" w:color="auto" w:fill="auto"/>
          </w:tcPr>
          <w:p w14:paraId="69A35BDD" w14:textId="42CAC669" w:rsidR="000D7F91" w:rsidRPr="003A3813" w:rsidRDefault="000D7F91" w:rsidP="00770F75">
            <w:pPr>
              <w:spacing w:after="120"/>
              <w:jc w:val="center"/>
              <w:rPr>
                <w:rFonts w:cs="Arial"/>
                <w:szCs w:val="20"/>
              </w:rPr>
            </w:pPr>
            <w:r w:rsidRPr="003A3813">
              <w:rPr>
                <w:rFonts w:cs="Arial"/>
                <w:szCs w:val="20"/>
              </w:rPr>
              <w:t>20</w:t>
            </w:r>
            <w:r w:rsidR="009B36F5" w:rsidRPr="003A3813">
              <w:rPr>
                <w:rFonts w:cs="Arial"/>
                <w:szCs w:val="20"/>
              </w:rPr>
              <w:t>24</w:t>
            </w:r>
          </w:p>
        </w:tc>
        <w:tc>
          <w:tcPr>
            <w:tcW w:w="1851" w:type="dxa"/>
            <w:shd w:val="clear" w:color="auto" w:fill="auto"/>
          </w:tcPr>
          <w:p w14:paraId="2A0A5C2C" w14:textId="0F52D911" w:rsidR="000D7F91" w:rsidRPr="003A3813" w:rsidRDefault="000D7F91" w:rsidP="00770F75">
            <w:pPr>
              <w:spacing w:after="120"/>
              <w:rPr>
                <w:rFonts w:cs="Arial"/>
                <w:szCs w:val="20"/>
              </w:rPr>
            </w:pPr>
            <w:r w:rsidRPr="003A3813">
              <w:rPr>
                <w:rFonts w:cs="Arial"/>
                <w:szCs w:val="20"/>
              </w:rPr>
              <w:t>a nr</w:t>
            </w:r>
            <w:r w:rsidR="00800289" w:rsidRPr="003A3813">
              <w:rPr>
                <w:rFonts w:cs="Arial"/>
                <w:szCs w:val="20"/>
              </w:rPr>
              <w:t xml:space="preserve"> </w:t>
            </w:r>
            <w:r w:rsidR="00394853" w:rsidRPr="00394853">
              <w:rPr>
                <w:rFonts w:cs="Arial"/>
                <w:szCs w:val="20"/>
              </w:rPr>
              <w:t xml:space="preserve">10-3/94 </w:t>
            </w:r>
          </w:p>
        </w:tc>
        <w:tc>
          <w:tcPr>
            <w:tcW w:w="971" w:type="dxa"/>
            <w:tcBorders>
              <w:left w:val="nil"/>
            </w:tcBorders>
            <w:shd w:val="clear" w:color="auto" w:fill="auto"/>
          </w:tcPr>
          <w:p w14:paraId="6A7ED25B" w14:textId="77777777" w:rsidR="000D7F91" w:rsidRPr="00847724" w:rsidRDefault="000D7F91" w:rsidP="00770F75">
            <w:pPr>
              <w:spacing w:after="120"/>
              <w:rPr>
                <w:rFonts w:cs="Arial"/>
                <w:szCs w:val="20"/>
              </w:rPr>
            </w:pPr>
          </w:p>
        </w:tc>
      </w:tr>
      <w:bookmarkEnd w:id="0"/>
    </w:tbl>
    <w:p w14:paraId="05959EA3" w14:textId="77777777" w:rsidR="009B36F5" w:rsidRPr="00847724" w:rsidRDefault="009B36F5" w:rsidP="009F47D7">
      <w:pPr>
        <w:jc w:val="both"/>
        <w:rPr>
          <w:rFonts w:cs="Arial"/>
          <w:b/>
          <w:szCs w:val="20"/>
        </w:rPr>
      </w:pPr>
    </w:p>
    <w:p w14:paraId="63BEB02E" w14:textId="77777777" w:rsidR="009F47D7" w:rsidRPr="00847724" w:rsidRDefault="009F47D7" w:rsidP="009B36F5">
      <w:pPr>
        <w:jc w:val="both"/>
        <w:rPr>
          <w:rFonts w:cs="Arial"/>
          <w:b/>
          <w:szCs w:val="20"/>
        </w:rPr>
      </w:pPr>
    </w:p>
    <w:p w14:paraId="57F37A2D" w14:textId="33AB6AA3" w:rsidR="009B36F5" w:rsidRPr="00847724" w:rsidRDefault="00A10924" w:rsidP="00C82A96">
      <w:pPr>
        <w:rPr>
          <w:rFonts w:cs="Arial"/>
          <w:b/>
          <w:szCs w:val="20"/>
        </w:rPr>
      </w:pPr>
      <w:r w:rsidRPr="00847724">
        <w:rPr>
          <w:rFonts w:cs="Arial"/>
          <w:b/>
          <w:szCs w:val="20"/>
        </w:rPr>
        <w:t>A</w:t>
      </w:r>
      <w:r w:rsidR="009B36F5" w:rsidRPr="00847724">
        <w:rPr>
          <w:rFonts w:cs="Arial"/>
          <w:b/>
          <w:szCs w:val="20"/>
        </w:rPr>
        <w:t xml:space="preserve">rvamus </w:t>
      </w:r>
      <w:bookmarkStart w:id="1" w:name="_Hlk177739338"/>
      <w:r w:rsidR="009B36F5" w:rsidRPr="00847724">
        <w:rPr>
          <w:rFonts w:cs="Arial"/>
          <w:b/>
          <w:szCs w:val="20"/>
        </w:rPr>
        <w:t xml:space="preserve">tsiviilkohtumenetluse seadustiku ja kohtute seaduse muutmise seaduse eelnõu </w:t>
      </w:r>
      <w:bookmarkEnd w:id="1"/>
      <w:r w:rsidR="009B36F5" w:rsidRPr="00847724">
        <w:rPr>
          <w:rFonts w:cs="Arial"/>
          <w:b/>
          <w:szCs w:val="20"/>
        </w:rPr>
        <w:t>väljatöötamise kavatsuse kohta</w:t>
      </w:r>
    </w:p>
    <w:p w14:paraId="7F8790E6" w14:textId="77777777" w:rsidR="00C82A96" w:rsidRPr="00847724" w:rsidRDefault="00C82A96" w:rsidP="00C82A96">
      <w:pPr>
        <w:rPr>
          <w:rFonts w:cs="Arial"/>
          <w:b/>
          <w:szCs w:val="20"/>
        </w:rPr>
      </w:pPr>
    </w:p>
    <w:p w14:paraId="270D2F26" w14:textId="77777777" w:rsidR="00C82A96" w:rsidRPr="00847724" w:rsidRDefault="00C82A96" w:rsidP="00C82A96">
      <w:pPr>
        <w:rPr>
          <w:rFonts w:cs="Arial"/>
          <w:bCs/>
          <w:szCs w:val="20"/>
        </w:rPr>
      </w:pPr>
    </w:p>
    <w:p w14:paraId="2F255FF7" w14:textId="2AF0BFE8" w:rsidR="00C82A96" w:rsidRPr="00847724" w:rsidRDefault="00C82A96" w:rsidP="00C82A96">
      <w:pPr>
        <w:rPr>
          <w:rFonts w:cs="Arial"/>
          <w:bCs/>
          <w:szCs w:val="20"/>
        </w:rPr>
      </w:pPr>
      <w:r w:rsidRPr="00847724">
        <w:rPr>
          <w:rFonts w:cs="Arial"/>
          <w:bCs/>
          <w:szCs w:val="20"/>
        </w:rPr>
        <w:t xml:space="preserve">Lugupeetud </w:t>
      </w:r>
      <w:r w:rsidR="007D154A">
        <w:rPr>
          <w:rFonts w:cs="Arial"/>
          <w:bCs/>
          <w:szCs w:val="20"/>
        </w:rPr>
        <w:t xml:space="preserve">proua </w:t>
      </w:r>
      <w:r w:rsidRPr="00847724">
        <w:rPr>
          <w:rFonts w:cs="Arial"/>
          <w:bCs/>
          <w:szCs w:val="20"/>
        </w:rPr>
        <w:t>minister</w:t>
      </w:r>
    </w:p>
    <w:p w14:paraId="1EEB68D4" w14:textId="77777777" w:rsidR="00C82A96" w:rsidRPr="00847724" w:rsidRDefault="00C82A96" w:rsidP="00C82A96">
      <w:pPr>
        <w:rPr>
          <w:rFonts w:cs="Arial"/>
          <w:bCs/>
          <w:szCs w:val="20"/>
        </w:rPr>
      </w:pPr>
    </w:p>
    <w:p w14:paraId="40494136" w14:textId="42DDCA9E" w:rsidR="00C82A96" w:rsidRPr="00847724" w:rsidRDefault="00C82A96" w:rsidP="00C82A96">
      <w:pPr>
        <w:jc w:val="both"/>
        <w:rPr>
          <w:rFonts w:cs="Arial"/>
          <w:bCs/>
          <w:szCs w:val="20"/>
        </w:rPr>
      </w:pPr>
      <w:r w:rsidRPr="00847724">
        <w:rPr>
          <w:rFonts w:cs="Arial"/>
          <w:bCs/>
          <w:szCs w:val="20"/>
        </w:rPr>
        <w:t>Täna</w:t>
      </w:r>
      <w:r w:rsidR="007D154A">
        <w:rPr>
          <w:rFonts w:cs="Arial"/>
          <w:bCs/>
          <w:szCs w:val="20"/>
        </w:rPr>
        <w:t>n</w:t>
      </w:r>
      <w:r w:rsidRPr="00847724">
        <w:rPr>
          <w:rFonts w:cs="Arial"/>
          <w:bCs/>
          <w:szCs w:val="20"/>
        </w:rPr>
        <w:t xml:space="preserve"> Teid võimaluse eest avaldada arvamust tsiviilkohtumenetluse seadustiku ja kohtute seaduse muutmise seaduse eelnõu väljatöötamiskavatsuse</w:t>
      </w:r>
      <w:r w:rsidR="004834B8" w:rsidRPr="00847724">
        <w:rPr>
          <w:rFonts w:cs="Arial"/>
          <w:bCs/>
          <w:szCs w:val="20"/>
        </w:rPr>
        <w:t xml:space="preserve"> (VTK)</w:t>
      </w:r>
      <w:r w:rsidRPr="00847724">
        <w:rPr>
          <w:rFonts w:cs="Arial"/>
          <w:bCs/>
          <w:szCs w:val="20"/>
        </w:rPr>
        <w:t xml:space="preserve"> kohta.</w:t>
      </w:r>
      <w:r w:rsidR="003A3813">
        <w:rPr>
          <w:rFonts w:cs="Arial"/>
          <w:bCs/>
          <w:szCs w:val="20"/>
        </w:rPr>
        <w:t xml:space="preserve"> Suvist </w:t>
      </w:r>
      <w:proofErr w:type="spellStart"/>
      <w:r w:rsidR="003A3813">
        <w:rPr>
          <w:rFonts w:cs="Arial"/>
          <w:bCs/>
          <w:szCs w:val="20"/>
        </w:rPr>
        <w:t>puhkusteperioodi</w:t>
      </w:r>
      <w:proofErr w:type="spellEnd"/>
      <w:r w:rsidR="003A3813">
        <w:rPr>
          <w:rFonts w:cs="Arial"/>
          <w:bCs/>
          <w:szCs w:val="20"/>
        </w:rPr>
        <w:t xml:space="preserve"> ning sellele järgnenud planeeritud tööülesandeid silmas pidades ei olnud Tallinna Ringkonnakohtu tsiviilkolleegiumil</w:t>
      </w:r>
      <w:r w:rsidR="007D154A">
        <w:rPr>
          <w:rFonts w:cs="Arial"/>
          <w:bCs/>
          <w:szCs w:val="20"/>
        </w:rPr>
        <w:t>, kes valdkonnas kahtluseta kõige asjatundlikum,</w:t>
      </w:r>
      <w:r w:rsidR="003A3813">
        <w:rPr>
          <w:rFonts w:cs="Arial"/>
          <w:bCs/>
          <w:szCs w:val="20"/>
        </w:rPr>
        <w:t xml:space="preserve"> võimalik kujundada VTK kohta seisukohta </w:t>
      </w:r>
      <w:r w:rsidR="007D154A">
        <w:rPr>
          <w:rFonts w:cs="Arial"/>
          <w:bCs/>
          <w:szCs w:val="20"/>
        </w:rPr>
        <w:t xml:space="preserve">Teie </w:t>
      </w:r>
      <w:r w:rsidR="003A3813">
        <w:rPr>
          <w:rFonts w:cs="Arial"/>
          <w:bCs/>
          <w:szCs w:val="20"/>
        </w:rPr>
        <w:t>palutud ajaks. Esitan selle siiski</w:t>
      </w:r>
      <w:r w:rsidR="007D154A">
        <w:rPr>
          <w:rFonts w:cs="Arial"/>
          <w:bCs/>
          <w:szCs w:val="20"/>
        </w:rPr>
        <w:t xml:space="preserve"> tagantjärgi</w:t>
      </w:r>
      <w:r w:rsidR="003A3813">
        <w:rPr>
          <w:rFonts w:cs="Arial"/>
          <w:bCs/>
          <w:szCs w:val="20"/>
        </w:rPr>
        <w:t xml:space="preserve">, lootes, et sellest on abi eelnõu ettevalmistamisel. Põhilises vastuseisu tekitanud küsimuses, mis puudutab määruskaebusmenetluse regulatsiooni muutmist selliselt, et määruskaebused esitataks otse ringkonnakohtusse, väljendasin Tallinna Ringkonnakohtu seisukohta ka 19.-20.09.2024 toimunud Kohtute haldamise nõukoja istungil, kus asjaomane küsimus tsiviilkohtumenetluse tõhustamise meetmeid käsitleva päevakorrapunkti raames kõneks tuli. </w:t>
      </w:r>
    </w:p>
    <w:p w14:paraId="22EDE46F" w14:textId="77777777" w:rsidR="004834B8" w:rsidRPr="00847724" w:rsidRDefault="004834B8" w:rsidP="00C82A96">
      <w:pPr>
        <w:jc w:val="both"/>
        <w:rPr>
          <w:rFonts w:cs="Arial"/>
          <w:bCs/>
          <w:szCs w:val="20"/>
        </w:rPr>
      </w:pPr>
    </w:p>
    <w:p w14:paraId="1F4D2C94" w14:textId="77777777" w:rsidR="003109E8" w:rsidRPr="00847724" w:rsidRDefault="004834B8" w:rsidP="00C82A96">
      <w:pPr>
        <w:jc w:val="both"/>
        <w:rPr>
          <w:rFonts w:cs="Arial"/>
          <w:bCs/>
          <w:szCs w:val="20"/>
        </w:rPr>
      </w:pPr>
      <w:r w:rsidRPr="00847724">
        <w:rPr>
          <w:rFonts w:cs="Arial"/>
          <w:bCs/>
          <w:szCs w:val="20"/>
        </w:rPr>
        <w:t>Tallinna Ringkonnakohus nõustub üldjoontes VTK-s nimetatud probleemide ja pakutud lahendustega, välja arvatud osas, milles VTK-s nähakse ette võimalus esitada määruskaebused otse ringkonnakohtule.</w:t>
      </w:r>
    </w:p>
    <w:p w14:paraId="08887F2D" w14:textId="77777777" w:rsidR="003109E8" w:rsidRPr="00847724" w:rsidRDefault="003109E8" w:rsidP="00C82A96">
      <w:pPr>
        <w:jc w:val="both"/>
        <w:rPr>
          <w:rFonts w:cs="Arial"/>
          <w:bCs/>
          <w:szCs w:val="20"/>
        </w:rPr>
      </w:pPr>
    </w:p>
    <w:p w14:paraId="0D19A82D" w14:textId="72F242B6" w:rsidR="00E018D0" w:rsidRPr="00847724" w:rsidRDefault="00630287" w:rsidP="00C82A96">
      <w:pPr>
        <w:jc w:val="both"/>
        <w:rPr>
          <w:rFonts w:cs="Arial"/>
          <w:bCs/>
          <w:szCs w:val="20"/>
        </w:rPr>
      </w:pPr>
      <w:r>
        <w:rPr>
          <w:rFonts w:cs="Arial"/>
          <w:bCs/>
          <w:szCs w:val="20"/>
        </w:rPr>
        <w:t>J</w:t>
      </w:r>
      <w:r w:rsidR="00E018D0" w:rsidRPr="00847724">
        <w:rPr>
          <w:rFonts w:cs="Arial"/>
          <w:bCs/>
          <w:szCs w:val="20"/>
        </w:rPr>
        <w:t>ärgnevalt esitab ringkonnakohus oma seisukohad iga kavandatud muudatuse kohta.</w:t>
      </w:r>
    </w:p>
    <w:p w14:paraId="32A2FB92" w14:textId="77777777" w:rsidR="009B36F5" w:rsidRPr="00847724" w:rsidRDefault="009B36F5" w:rsidP="00C82A96">
      <w:pPr>
        <w:jc w:val="both"/>
        <w:rPr>
          <w:rFonts w:cs="Arial"/>
          <w:b/>
          <w:szCs w:val="20"/>
        </w:rPr>
      </w:pPr>
    </w:p>
    <w:p w14:paraId="3199E71B" w14:textId="77777777" w:rsidR="009B36F5" w:rsidRPr="00847724" w:rsidRDefault="009B36F5" w:rsidP="009B36F5">
      <w:pPr>
        <w:pStyle w:val="Loendilik"/>
        <w:spacing w:line="259" w:lineRule="auto"/>
        <w:ind w:left="644"/>
        <w:jc w:val="both"/>
        <w:rPr>
          <w:rFonts w:ascii="Arial" w:hAnsi="Arial" w:cs="Arial"/>
          <w:b/>
          <w:bCs/>
          <w:sz w:val="20"/>
          <w:szCs w:val="20"/>
        </w:rPr>
      </w:pPr>
    </w:p>
    <w:p w14:paraId="7843D331" w14:textId="77777777" w:rsidR="009B36F5" w:rsidRPr="00847724" w:rsidRDefault="009B36F5" w:rsidP="009B36F5">
      <w:pPr>
        <w:pStyle w:val="Loendilik"/>
        <w:numPr>
          <w:ilvl w:val="0"/>
          <w:numId w:val="2"/>
        </w:numPr>
        <w:spacing w:line="259" w:lineRule="auto"/>
        <w:jc w:val="both"/>
        <w:rPr>
          <w:rFonts w:ascii="Arial" w:hAnsi="Arial" w:cs="Arial"/>
          <w:b/>
          <w:bCs/>
          <w:sz w:val="20"/>
          <w:szCs w:val="20"/>
        </w:rPr>
      </w:pPr>
      <w:r w:rsidRPr="00847724">
        <w:rPr>
          <w:rFonts w:ascii="Arial" w:hAnsi="Arial" w:cs="Arial"/>
          <w:b/>
          <w:bCs/>
          <w:sz w:val="20"/>
          <w:szCs w:val="20"/>
        </w:rPr>
        <w:t>Hagi tagamise avalduse läbivaatamine</w:t>
      </w:r>
    </w:p>
    <w:p w14:paraId="5D09FD94" w14:textId="77777777" w:rsidR="009B36F5" w:rsidRPr="00847724" w:rsidRDefault="009B36F5" w:rsidP="009B36F5">
      <w:pPr>
        <w:pStyle w:val="Loendilik"/>
        <w:spacing w:line="259" w:lineRule="auto"/>
        <w:ind w:left="644"/>
        <w:jc w:val="both"/>
        <w:rPr>
          <w:rFonts w:ascii="Arial" w:hAnsi="Arial" w:cs="Arial"/>
          <w:b/>
          <w:bCs/>
          <w:sz w:val="20"/>
          <w:szCs w:val="20"/>
        </w:rPr>
      </w:pPr>
    </w:p>
    <w:p w14:paraId="6351FD7E" w14:textId="77777777" w:rsidR="009B36F5" w:rsidRPr="00847724" w:rsidRDefault="009B36F5" w:rsidP="009B36F5">
      <w:pPr>
        <w:pStyle w:val="Loendilik"/>
        <w:spacing w:line="259" w:lineRule="auto"/>
        <w:ind w:left="644"/>
        <w:jc w:val="both"/>
        <w:rPr>
          <w:rFonts w:ascii="Arial" w:hAnsi="Arial" w:cs="Arial"/>
          <w:sz w:val="20"/>
          <w:szCs w:val="20"/>
        </w:rPr>
      </w:pPr>
      <w:r w:rsidRPr="00847724">
        <w:rPr>
          <w:rFonts w:ascii="Arial" w:hAnsi="Arial" w:cs="Arial"/>
          <w:color w:val="202020"/>
          <w:sz w:val="20"/>
          <w:szCs w:val="20"/>
        </w:rPr>
        <w:t>Toetame ettepanekut pikendada hagi tagamise avalduse lahendamise tähtaega praegusest ühest tööpäevast kolme tööpäevani.</w:t>
      </w:r>
    </w:p>
    <w:p w14:paraId="5B76A5BC" w14:textId="77777777" w:rsidR="009B36F5" w:rsidRPr="00847724" w:rsidRDefault="009B36F5" w:rsidP="009B36F5">
      <w:pPr>
        <w:pStyle w:val="Loendilik"/>
        <w:tabs>
          <w:tab w:val="left" w:pos="3810"/>
        </w:tabs>
        <w:spacing w:line="259" w:lineRule="auto"/>
        <w:ind w:left="644"/>
        <w:jc w:val="both"/>
        <w:rPr>
          <w:rFonts w:ascii="Arial" w:hAnsi="Arial" w:cs="Arial"/>
          <w:b/>
          <w:bCs/>
          <w:sz w:val="20"/>
          <w:szCs w:val="20"/>
        </w:rPr>
      </w:pPr>
      <w:r w:rsidRPr="00847724">
        <w:rPr>
          <w:rFonts w:ascii="Arial" w:hAnsi="Arial" w:cs="Arial"/>
          <w:b/>
          <w:bCs/>
          <w:sz w:val="20"/>
          <w:szCs w:val="20"/>
        </w:rPr>
        <w:tab/>
      </w:r>
    </w:p>
    <w:p w14:paraId="71C10AC4" w14:textId="77777777" w:rsidR="009B36F5" w:rsidRPr="00847724" w:rsidRDefault="009B36F5" w:rsidP="009B36F5">
      <w:pPr>
        <w:pStyle w:val="Loendilik"/>
        <w:numPr>
          <w:ilvl w:val="0"/>
          <w:numId w:val="2"/>
        </w:numPr>
        <w:spacing w:line="259" w:lineRule="auto"/>
        <w:jc w:val="both"/>
        <w:rPr>
          <w:rFonts w:ascii="Arial" w:hAnsi="Arial" w:cs="Arial"/>
          <w:b/>
          <w:bCs/>
          <w:sz w:val="20"/>
          <w:szCs w:val="20"/>
        </w:rPr>
      </w:pPr>
      <w:bookmarkStart w:id="2" w:name="_Hlk165046757"/>
      <w:r w:rsidRPr="00847724">
        <w:rPr>
          <w:rFonts w:ascii="Arial" w:hAnsi="Arial" w:cs="Arial"/>
          <w:b/>
          <w:bCs/>
          <w:sz w:val="20"/>
          <w:szCs w:val="20"/>
        </w:rPr>
        <w:t>Kohtunikuabi ja vanemkohtujuristi pädevuse laiendamine</w:t>
      </w:r>
    </w:p>
    <w:p w14:paraId="15C6E982" w14:textId="77777777" w:rsidR="009B36F5" w:rsidRPr="00847724" w:rsidRDefault="009B36F5" w:rsidP="009B36F5">
      <w:pPr>
        <w:pStyle w:val="Loendilik"/>
        <w:spacing w:line="259" w:lineRule="auto"/>
        <w:ind w:left="644"/>
        <w:jc w:val="both"/>
        <w:rPr>
          <w:rFonts w:ascii="Arial" w:hAnsi="Arial" w:cs="Arial"/>
          <w:sz w:val="20"/>
          <w:szCs w:val="20"/>
        </w:rPr>
      </w:pPr>
    </w:p>
    <w:p w14:paraId="0AF8CDB6" w14:textId="3CE7F15C" w:rsidR="009B36F5" w:rsidRPr="00847724" w:rsidRDefault="009B36F5" w:rsidP="007A50F1">
      <w:pPr>
        <w:pStyle w:val="Loendilik"/>
        <w:spacing w:line="259" w:lineRule="auto"/>
        <w:ind w:left="644"/>
        <w:jc w:val="both"/>
        <w:rPr>
          <w:rFonts w:ascii="Arial" w:eastAsia="Times New Roman" w:hAnsi="Arial" w:cs="Arial"/>
          <w:kern w:val="0"/>
          <w:sz w:val="20"/>
          <w:szCs w:val="20"/>
          <w:lang w:eastAsia="et-EE"/>
          <w14:ligatures w14:val="none"/>
        </w:rPr>
      </w:pPr>
      <w:r w:rsidRPr="00847724">
        <w:rPr>
          <w:rFonts w:ascii="Arial" w:hAnsi="Arial" w:cs="Arial"/>
          <w:sz w:val="20"/>
          <w:szCs w:val="20"/>
        </w:rPr>
        <w:t>VTK kohaselt võiksid vähem koormavamaid hagi tagamise meetmeid ja teatud liiki hagita menetlusi olla pädevad menetlema ka kohtunikuabid ja vanemkohtujuristid.</w:t>
      </w:r>
      <w:r w:rsidRPr="00847724">
        <w:rPr>
          <w:rFonts w:ascii="Arial" w:eastAsia="Times New Roman" w:hAnsi="Arial" w:cs="Arial"/>
          <w:kern w:val="0"/>
          <w:sz w:val="20"/>
          <w:szCs w:val="20"/>
          <w:lang w:eastAsia="et-EE"/>
          <w14:ligatures w14:val="none"/>
        </w:rPr>
        <w:t xml:space="preserve"> Regulatiivse lahendusena on VTK-s välja pakutud hagita menetluse liigid, mida võivad kohtunikuabi ja vanemkohtujuristid iseseisvalt lahendada.</w:t>
      </w:r>
      <w:r w:rsidR="007A50F1" w:rsidRPr="00847724">
        <w:rPr>
          <w:rFonts w:ascii="Arial" w:eastAsia="Times New Roman" w:hAnsi="Arial" w:cs="Arial"/>
          <w:kern w:val="0"/>
          <w:sz w:val="20"/>
          <w:szCs w:val="20"/>
          <w:lang w:eastAsia="et-EE"/>
          <w14:ligatures w14:val="none"/>
        </w:rPr>
        <w:t xml:space="preserve"> </w:t>
      </w:r>
      <w:r w:rsidRPr="00847724">
        <w:rPr>
          <w:rFonts w:ascii="Arial" w:eastAsia="Times New Roman" w:hAnsi="Arial" w:cs="Arial"/>
          <w:kern w:val="0"/>
          <w:sz w:val="20"/>
          <w:szCs w:val="20"/>
          <w:lang w:eastAsia="et-EE"/>
          <w14:ligatures w14:val="none"/>
        </w:rPr>
        <w:t xml:space="preserve">Kuigi </w:t>
      </w:r>
      <w:r w:rsidR="007A50F1" w:rsidRPr="00847724">
        <w:rPr>
          <w:rFonts w:ascii="Arial" w:eastAsia="Times New Roman" w:hAnsi="Arial" w:cs="Arial"/>
          <w:kern w:val="0"/>
          <w:sz w:val="20"/>
          <w:szCs w:val="20"/>
          <w:lang w:eastAsia="et-EE"/>
          <w14:ligatures w14:val="none"/>
        </w:rPr>
        <w:t xml:space="preserve">kohtunikuabide ja </w:t>
      </w:r>
      <w:r w:rsidRPr="00847724">
        <w:rPr>
          <w:rFonts w:ascii="Arial" w:eastAsia="Times New Roman" w:hAnsi="Arial" w:cs="Arial"/>
          <w:kern w:val="0"/>
          <w:sz w:val="20"/>
          <w:szCs w:val="20"/>
          <w:lang w:eastAsia="et-EE"/>
          <w14:ligatures w14:val="none"/>
        </w:rPr>
        <w:t>kohtujuristide motiveerimine ja arendamine</w:t>
      </w:r>
      <w:r w:rsidR="009E3FA1" w:rsidRPr="00847724">
        <w:rPr>
          <w:rFonts w:ascii="Arial" w:eastAsia="Times New Roman" w:hAnsi="Arial" w:cs="Arial"/>
          <w:kern w:val="0"/>
          <w:sz w:val="20"/>
          <w:szCs w:val="20"/>
          <w:lang w:eastAsia="et-EE"/>
          <w14:ligatures w14:val="none"/>
        </w:rPr>
        <w:t xml:space="preserve"> on oluline</w:t>
      </w:r>
      <w:r w:rsidRPr="00847724">
        <w:rPr>
          <w:rFonts w:ascii="Arial" w:eastAsia="Times New Roman" w:hAnsi="Arial" w:cs="Arial"/>
          <w:kern w:val="0"/>
          <w:sz w:val="20"/>
          <w:szCs w:val="20"/>
          <w:lang w:eastAsia="et-EE"/>
          <w14:ligatures w14:val="none"/>
        </w:rPr>
        <w:t xml:space="preserve"> ning ettepanek aitab </w:t>
      </w:r>
      <w:r w:rsidRPr="00847724">
        <w:rPr>
          <w:rFonts w:ascii="Arial" w:hAnsi="Arial" w:cs="Arial"/>
          <w:sz w:val="20"/>
          <w:szCs w:val="20"/>
        </w:rPr>
        <w:t>tõhustada õigusemõistmise tugipersonali (sh</w:t>
      </w:r>
      <w:r w:rsidR="007A50F1" w:rsidRPr="00847724">
        <w:rPr>
          <w:rFonts w:ascii="Arial" w:hAnsi="Arial" w:cs="Arial"/>
          <w:sz w:val="20"/>
          <w:szCs w:val="20"/>
        </w:rPr>
        <w:t> </w:t>
      </w:r>
      <w:r w:rsidRPr="00847724">
        <w:rPr>
          <w:rFonts w:ascii="Arial" w:hAnsi="Arial" w:cs="Arial"/>
          <w:sz w:val="20"/>
          <w:szCs w:val="20"/>
        </w:rPr>
        <w:t>kohtujuristide) tööd</w:t>
      </w:r>
      <w:r w:rsidRPr="00847724">
        <w:rPr>
          <w:rFonts w:ascii="Arial" w:eastAsia="Times New Roman" w:hAnsi="Arial" w:cs="Arial"/>
          <w:kern w:val="0"/>
          <w:sz w:val="20"/>
          <w:szCs w:val="20"/>
          <w:lang w:eastAsia="et-EE"/>
          <w14:ligatures w14:val="none"/>
        </w:rPr>
        <w:t xml:space="preserve">, kahtleme siiski, kas ettepanek anda </w:t>
      </w:r>
      <w:proofErr w:type="spellStart"/>
      <w:r w:rsidRPr="00847724">
        <w:rPr>
          <w:rFonts w:ascii="Arial" w:eastAsiaTheme="majorEastAsia" w:hAnsi="Arial" w:cs="Arial"/>
          <w:color w:val="202020"/>
          <w:sz w:val="20"/>
          <w:szCs w:val="20"/>
          <w:shd w:val="clear" w:color="auto" w:fill="FFFFFF"/>
        </w:rPr>
        <w:t>TsMS</w:t>
      </w:r>
      <w:proofErr w:type="spellEnd"/>
      <w:r w:rsidRPr="00847724">
        <w:rPr>
          <w:rFonts w:ascii="Arial" w:eastAsiaTheme="majorEastAsia" w:hAnsi="Arial" w:cs="Arial"/>
          <w:color w:val="202020"/>
          <w:sz w:val="20"/>
          <w:szCs w:val="20"/>
          <w:shd w:val="clear" w:color="auto" w:fill="FFFFFF"/>
        </w:rPr>
        <w:t xml:space="preserve"> §-i 378 lg 1 punktides 1, 2, 4 ja 5 nimetatud</w:t>
      </w:r>
      <w:r w:rsidRPr="00847724">
        <w:rPr>
          <w:rFonts w:ascii="Arial" w:eastAsia="Times New Roman" w:hAnsi="Arial" w:cs="Arial"/>
          <w:kern w:val="0"/>
          <w:sz w:val="20"/>
          <w:szCs w:val="20"/>
          <w:lang w:eastAsia="et-EE"/>
          <w14:ligatures w14:val="none"/>
        </w:rPr>
        <w:t xml:space="preserve"> hagi tagamise meetmete rakendamise pädevus kohtunikuabile või vanemkohtujuristile on kooskõlas põhiseaduse §-ga 146.</w:t>
      </w:r>
    </w:p>
    <w:p w14:paraId="05F87C6A" w14:textId="77777777" w:rsidR="009B36F5" w:rsidRPr="00847724" w:rsidRDefault="009B36F5" w:rsidP="009B36F5">
      <w:pPr>
        <w:pStyle w:val="Loendilik"/>
        <w:spacing w:line="259" w:lineRule="auto"/>
        <w:ind w:left="644"/>
        <w:jc w:val="both"/>
        <w:rPr>
          <w:rFonts w:ascii="Arial" w:eastAsia="Times New Roman" w:hAnsi="Arial" w:cs="Arial"/>
          <w:kern w:val="0"/>
          <w:sz w:val="20"/>
          <w:szCs w:val="20"/>
          <w:lang w:eastAsia="et-EE"/>
          <w14:ligatures w14:val="none"/>
        </w:rPr>
      </w:pPr>
    </w:p>
    <w:bookmarkEnd w:id="2"/>
    <w:p w14:paraId="28C991F3" w14:textId="77777777" w:rsidR="009B36F5" w:rsidRPr="00847724" w:rsidRDefault="009B36F5" w:rsidP="009B36F5">
      <w:pPr>
        <w:pStyle w:val="Loendilik"/>
        <w:numPr>
          <w:ilvl w:val="0"/>
          <w:numId w:val="2"/>
        </w:numPr>
        <w:spacing w:line="259" w:lineRule="auto"/>
        <w:jc w:val="both"/>
        <w:rPr>
          <w:rFonts w:ascii="Arial" w:hAnsi="Arial" w:cs="Arial"/>
          <w:b/>
          <w:bCs/>
          <w:sz w:val="20"/>
          <w:szCs w:val="20"/>
        </w:rPr>
      </w:pPr>
      <w:r w:rsidRPr="00847724">
        <w:rPr>
          <w:rFonts w:ascii="Arial" w:hAnsi="Arial" w:cs="Arial"/>
          <w:b/>
          <w:bCs/>
          <w:sz w:val="20"/>
          <w:szCs w:val="20"/>
        </w:rPr>
        <w:t>Kiirmenetluse muutumine hagimenetluseks</w:t>
      </w:r>
    </w:p>
    <w:p w14:paraId="57F0EDE5" w14:textId="77777777" w:rsidR="009B36F5" w:rsidRPr="00847724" w:rsidRDefault="009B36F5" w:rsidP="009B36F5">
      <w:pPr>
        <w:pStyle w:val="Loendilik"/>
        <w:spacing w:line="259" w:lineRule="auto"/>
        <w:ind w:left="644"/>
        <w:jc w:val="both"/>
        <w:rPr>
          <w:rFonts w:ascii="Arial" w:hAnsi="Arial" w:cs="Arial"/>
          <w:sz w:val="20"/>
          <w:szCs w:val="20"/>
        </w:rPr>
      </w:pPr>
    </w:p>
    <w:p w14:paraId="50E34321" w14:textId="77777777" w:rsidR="009B36F5" w:rsidRPr="00847724" w:rsidRDefault="009B36F5" w:rsidP="009B36F5">
      <w:pPr>
        <w:pStyle w:val="Loendilik"/>
        <w:spacing w:line="259" w:lineRule="auto"/>
        <w:ind w:left="644"/>
        <w:jc w:val="both"/>
        <w:rPr>
          <w:rFonts w:ascii="Arial" w:eastAsia="Times New Roman" w:hAnsi="Arial" w:cs="Arial"/>
          <w:sz w:val="20"/>
          <w:szCs w:val="20"/>
        </w:rPr>
      </w:pPr>
      <w:r w:rsidRPr="00847724">
        <w:rPr>
          <w:rFonts w:ascii="Arial" w:hAnsi="Arial" w:cs="Arial"/>
          <w:sz w:val="20"/>
          <w:szCs w:val="20"/>
        </w:rPr>
        <w:t xml:space="preserve">Toetame ettepanekut loobuda maksekäsu kiirmenetluse korral praegusest korraldusest, kus vastuväite või kättetoimetamise võimatuse korral saadetakse avaldus ilma avaldaja sellekohase tahteavalduseta kohtusse. Samuti toetame ettepanekut </w:t>
      </w:r>
      <w:r w:rsidRPr="00847724">
        <w:rPr>
          <w:rFonts w:ascii="Arial" w:eastAsia="Times New Roman" w:hAnsi="Arial" w:cs="Arial"/>
          <w:sz w:val="20"/>
          <w:szCs w:val="20"/>
        </w:rPr>
        <w:t xml:space="preserve">anda menetlus üle kohtunikule </w:t>
      </w:r>
      <w:r w:rsidRPr="00847724">
        <w:rPr>
          <w:rFonts w:ascii="Arial" w:eastAsia="Times New Roman" w:hAnsi="Arial" w:cs="Arial"/>
          <w:sz w:val="20"/>
          <w:szCs w:val="20"/>
        </w:rPr>
        <w:lastRenderedPageBreak/>
        <w:t>lahendamiseks, kui makseettepaneku kättetoimetamisel ilmneb kahtlus, kas võlgniku elukoht on ikka Eestis ja kas seetõttu on Eesti kohus pädev asja lahendama.</w:t>
      </w:r>
    </w:p>
    <w:p w14:paraId="39933A21" w14:textId="77777777" w:rsidR="009B36F5" w:rsidRPr="00847724" w:rsidRDefault="009B36F5" w:rsidP="009B36F5">
      <w:pPr>
        <w:pStyle w:val="Loendilik"/>
        <w:spacing w:line="259" w:lineRule="auto"/>
        <w:ind w:left="644"/>
        <w:jc w:val="both"/>
        <w:rPr>
          <w:rFonts w:ascii="Arial" w:hAnsi="Arial" w:cs="Arial"/>
          <w:sz w:val="20"/>
          <w:szCs w:val="20"/>
        </w:rPr>
      </w:pPr>
    </w:p>
    <w:p w14:paraId="6029E877" w14:textId="77777777" w:rsidR="009B36F5" w:rsidRPr="00847724" w:rsidRDefault="009B36F5" w:rsidP="009B36F5">
      <w:pPr>
        <w:pStyle w:val="Loendilik"/>
        <w:numPr>
          <w:ilvl w:val="0"/>
          <w:numId w:val="2"/>
        </w:numPr>
        <w:spacing w:line="259" w:lineRule="auto"/>
        <w:jc w:val="both"/>
        <w:rPr>
          <w:rFonts w:ascii="Arial" w:hAnsi="Arial" w:cs="Arial"/>
          <w:b/>
          <w:bCs/>
          <w:sz w:val="20"/>
          <w:szCs w:val="20"/>
        </w:rPr>
      </w:pPr>
      <w:r w:rsidRPr="00847724">
        <w:rPr>
          <w:rFonts w:ascii="Arial" w:hAnsi="Arial" w:cs="Arial"/>
          <w:b/>
          <w:bCs/>
          <w:sz w:val="20"/>
          <w:szCs w:val="20"/>
        </w:rPr>
        <w:t>Lihtmenetluse piirmäära suurendamine</w:t>
      </w:r>
    </w:p>
    <w:p w14:paraId="42C80D53" w14:textId="77777777" w:rsidR="009B36F5" w:rsidRPr="00847724" w:rsidRDefault="009B36F5" w:rsidP="009B36F5">
      <w:pPr>
        <w:pStyle w:val="Loendilik"/>
        <w:spacing w:line="259" w:lineRule="auto"/>
        <w:ind w:left="644"/>
        <w:jc w:val="both"/>
        <w:rPr>
          <w:rFonts w:ascii="Arial" w:hAnsi="Arial" w:cs="Arial"/>
          <w:sz w:val="20"/>
          <w:szCs w:val="20"/>
        </w:rPr>
      </w:pPr>
    </w:p>
    <w:p w14:paraId="0FB3F8CE" w14:textId="38377A55" w:rsidR="009B36F5" w:rsidRPr="00847724" w:rsidRDefault="009B36F5" w:rsidP="009B36F5">
      <w:pPr>
        <w:pStyle w:val="Loendilik"/>
        <w:spacing w:line="259" w:lineRule="auto"/>
        <w:ind w:left="644"/>
        <w:jc w:val="both"/>
        <w:rPr>
          <w:rFonts w:ascii="Arial" w:hAnsi="Arial" w:cs="Arial"/>
          <w:sz w:val="20"/>
          <w:szCs w:val="20"/>
        </w:rPr>
      </w:pPr>
      <w:r w:rsidRPr="00847724">
        <w:rPr>
          <w:rFonts w:ascii="Arial" w:hAnsi="Arial" w:cs="Arial"/>
          <w:sz w:val="20"/>
          <w:szCs w:val="20"/>
        </w:rPr>
        <w:t>Toetame lihtmenetluse piirmäära suurendamist. Olulist aja-</w:t>
      </w:r>
      <w:r w:rsidR="007944E0" w:rsidRPr="00847724">
        <w:rPr>
          <w:rFonts w:ascii="Arial" w:hAnsi="Arial" w:cs="Arial"/>
          <w:sz w:val="20"/>
          <w:szCs w:val="20"/>
        </w:rPr>
        <w:t xml:space="preserve"> </w:t>
      </w:r>
      <w:r w:rsidRPr="00847724">
        <w:rPr>
          <w:rFonts w:ascii="Arial" w:hAnsi="Arial" w:cs="Arial"/>
          <w:sz w:val="20"/>
          <w:szCs w:val="20"/>
        </w:rPr>
        <w:t>ega ressursisäästu ei pruugi see aga ringkonnakohtus anda, sest lihtmenetlus on võimalus eelkõige mingit sorti väiksematele tüüpvaidlustele.</w:t>
      </w:r>
      <w:r w:rsidRPr="00847724">
        <w:rPr>
          <w:rFonts w:ascii="Arial" w:hAnsi="Arial" w:cs="Arial"/>
          <w:color w:val="000000"/>
          <w:kern w:val="0"/>
          <w:sz w:val="20"/>
          <w:szCs w:val="20"/>
          <w14:ligatures w14:val="none"/>
        </w:rPr>
        <w:t xml:space="preserve"> E</w:t>
      </w:r>
      <w:r w:rsidRPr="00847724">
        <w:rPr>
          <w:rFonts w:ascii="Arial" w:hAnsi="Arial" w:cs="Arial"/>
          <w:sz w:val="20"/>
          <w:szCs w:val="20"/>
        </w:rPr>
        <w:t>nne lihtmenetluse erisuste kohaldamist tuleks hinnata, kas menetlusreeglitest kõrvalekaldumine on tsiviilasja olemust arvestades õigustatud. Kui kohtuasjas kerkivad üles keerukad õiguslikud küsimused, võiks lihtmenetluse erisustest hoiduda, et tagada asja õige lahendamine.</w:t>
      </w:r>
    </w:p>
    <w:p w14:paraId="065CAD8A" w14:textId="77777777" w:rsidR="009B36F5" w:rsidRPr="00847724" w:rsidRDefault="009B36F5" w:rsidP="00F022A3">
      <w:pPr>
        <w:pStyle w:val="Loendilik"/>
        <w:spacing w:line="240" w:lineRule="auto"/>
        <w:ind w:left="644"/>
        <w:jc w:val="both"/>
        <w:rPr>
          <w:rFonts w:ascii="Arial" w:hAnsi="Arial" w:cs="Arial"/>
          <w:sz w:val="20"/>
          <w:szCs w:val="20"/>
        </w:rPr>
      </w:pPr>
    </w:p>
    <w:p w14:paraId="08CC87E3" w14:textId="6DBC339B" w:rsidR="009B36F5" w:rsidRPr="00847724" w:rsidRDefault="004F44F8" w:rsidP="00F022A3">
      <w:pPr>
        <w:pStyle w:val="Loendilik"/>
        <w:spacing w:line="240" w:lineRule="auto"/>
        <w:ind w:left="644"/>
        <w:jc w:val="both"/>
        <w:rPr>
          <w:rFonts w:ascii="Arial" w:hAnsi="Arial" w:cs="Arial"/>
          <w:sz w:val="20"/>
          <w:szCs w:val="20"/>
        </w:rPr>
      </w:pPr>
      <w:r w:rsidRPr="00847724">
        <w:rPr>
          <w:rFonts w:ascii="Arial" w:hAnsi="Arial" w:cs="Arial"/>
          <w:sz w:val="20"/>
          <w:szCs w:val="20"/>
        </w:rPr>
        <w:t>Lisaks võiks meie hinnangul tõsta menetluskulude vaidlustamise summat (</w:t>
      </w:r>
      <w:proofErr w:type="spellStart"/>
      <w:r w:rsidRPr="00847724">
        <w:rPr>
          <w:rFonts w:ascii="Arial" w:hAnsi="Arial" w:cs="Arial"/>
          <w:sz w:val="20"/>
          <w:szCs w:val="20"/>
        </w:rPr>
        <w:t>TsMS</w:t>
      </w:r>
      <w:proofErr w:type="spellEnd"/>
      <w:r w:rsidRPr="00847724">
        <w:rPr>
          <w:rFonts w:ascii="Arial" w:hAnsi="Arial" w:cs="Arial"/>
          <w:sz w:val="20"/>
          <w:szCs w:val="20"/>
        </w:rPr>
        <w:t xml:space="preserve"> § 178 lg 2), millise ettepaneku on Tallinna Ringkonnakohus ka varem teinud.</w:t>
      </w:r>
      <w:r w:rsidRPr="00847724">
        <w:rPr>
          <w:rFonts w:ascii="Arial" w:hAnsi="Arial" w:cs="Arial"/>
          <w:kern w:val="0"/>
          <w:sz w:val="20"/>
          <w:szCs w:val="20"/>
          <w14:ligatures w14:val="none"/>
        </w:rPr>
        <w:t xml:space="preserve"> Ü</w:t>
      </w:r>
      <w:r w:rsidRPr="00847724">
        <w:rPr>
          <w:rFonts w:ascii="Arial" w:hAnsi="Arial" w:cs="Arial"/>
          <w:sz w:val="20"/>
          <w:szCs w:val="20"/>
        </w:rPr>
        <w:t>ldjuhul on lepingulise esindaja kulud (ka vaidlustatud osas) oluliselt suuremad kui 280 eurot. Menetluskulude vaidlustamise summa suurendamine aitab ära hoida menetluskulude suuruse üle vaidlemisel tekkivaid menetlusosaliste täiendavaid menetluskulusid ning suunab menetlusosalisi kiirema õigusrahu saavutamisele olukorras, kus vaidlustatud summa on väike.</w:t>
      </w:r>
    </w:p>
    <w:p w14:paraId="2AD315BE" w14:textId="77777777" w:rsidR="004F44F8" w:rsidRPr="00847724" w:rsidRDefault="004F44F8" w:rsidP="00F022A3">
      <w:pPr>
        <w:pStyle w:val="Loendilik"/>
        <w:spacing w:line="240" w:lineRule="auto"/>
        <w:ind w:left="644"/>
        <w:jc w:val="both"/>
        <w:rPr>
          <w:rFonts w:ascii="Arial" w:hAnsi="Arial" w:cs="Arial"/>
          <w:sz w:val="20"/>
          <w:szCs w:val="20"/>
        </w:rPr>
      </w:pPr>
    </w:p>
    <w:p w14:paraId="2985B6E1" w14:textId="77777777" w:rsidR="009B36F5" w:rsidRPr="00847724" w:rsidRDefault="009B36F5" w:rsidP="00F022A3">
      <w:pPr>
        <w:pStyle w:val="Loendilik"/>
        <w:numPr>
          <w:ilvl w:val="0"/>
          <w:numId w:val="2"/>
        </w:numPr>
        <w:spacing w:line="240" w:lineRule="auto"/>
        <w:jc w:val="both"/>
        <w:rPr>
          <w:rFonts w:ascii="Arial" w:hAnsi="Arial" w:cs="Arial"/>
          <w:b/>
          <w:bCs/>
          <w:sz w:val="20"/>
          <w:szCs w:val="20"/>
        </w:rPr>
      </w:pPr>
      <w:r w:rsidRPr="00847724">
        <w:rPr>
          <w:rFonts w:ascii="Arial" w:hAnsi="Arial" w:cs="Arial"/>
          <w:b/>
          <w:bCs/>
          <w:sz w:val="20"/>
          <w:szCs w:val="20"/>
        </w:rPr>
        <w:t>Määruskaebusmenetlus ringkonnakonnakohtus</w:t>
      </w:r>
    </w:p>
    <w:p w14:paraId="09C59E0C" w14:textId="77777777" w:rsidR="009B36F5" w:rsidRPr="00847724" w:rsidRDefault="009B36F5" w:rsidP="00F022A3">
      <w:pPr>
        <w:pStyle w:val="Loendilik"/>
        <w:spacing w:line="240" w:lineRule="auto"/>
        <w:ind w:left="644"/>
        <w:jc w:val="both"/>
        <w:rPr>
          <w:rFonts w:ascii="Arial" w:hAnsi="Arial" w:cs="Arial"/>
          <w:sz w:val="20"/>
          <w:szCs w:val="20"/>
        </w:rPr>
      </w:pPr>
    </w:p>
    <w:p w14:paraId="2C9426AA" w14:textId="229391CF" w:rsidR="00822CE3" w:rsidRPr="00847724" w:rsidRDefault="00822CE3" w:rsidP="00F022A3">
      <w:pPr>
        <w:pStyle w:val="Loendilik"/>
        <w:spacing w:line="240" w:lineRule="auto"/>
        <w:ind w:left="644"/>
        <w:jc w:val="both"/>
        <w:rPr>
          <w:rFonts w:ascii="Arial" w:hAnsi="Arial" w:cs="Arial"/>
          <w:sz w:val="20"/>
          <w:szCs w:val="20"/>
        </w:rPr>
      </w:pPr>
      <w:r w:rsidRPr="00822CE3">
        <w:rPr>
          <w:rFonts w:ascii="Arial" w:hAnsi="Arial" w:cs="Arial"/>
          <w:sz w:val="20"/>
          <w:szCs w:val="20"/>
        </w:rPr>
        <w:t>VTK</w:t>
      </w:r>
      <w:r w:rsidRPr="00847724">
        <w:rPr>
          <w:rFonts w:ascii="Arial" w:hAnsi="Arial" w:cs="Arial"/>
          <w:sz w:val="20"/>
          <w:szCs w:val="20"/>
        </w:rPr>
        <w:t xml:space="preserve"> 5.</w:t>
      </w:r>
      <w:r w:rsidRPr="00822CE3">
        <w:rPr>
          <w:rFonts w:ascii="Arial" w:hAnsi="Arial" w:cs="Arial"/>
          <w:sz w:val="20"/>
          <w:szCs w:val="20"/>
        </w:rPr>
        <w:t xml:space="preserve"> osa</w:t>
      </w:r>
      <w:r w:rsidRPr="00847724">
        <w:rPr>
          <w:rFonts w:ascii="Arial" w:hAnsi="Arial" w:cs="Arial"/>
          <w:sz w:val="20"/>
          <w:szCs w:val="20"/>
        </w:rPr>
        <w:t xml:space="preserve"> </w:t>
      </w:r>
      <w:r w:rsidRPr="00822CE3">
        <w:rPr>
          <w:rFonts w:ascii="Arial" w:hAnsi="Arial" w:cs="Arial"/>
          <w:sz w:val="20"/>
          <w:szCs w:val="20"/>
        </w:rPr>
        <w:t xml:space="preserve">käsitleb esimese astme kohtu (maakohtu) määruste peale ringkonnakohtule kaebuste esitamist. VTK p 5.2 </w:t>
      </w:r>
      <w:r w:rsidRPr="00847724">
        <w:rPr>
          <w:rFonts w:ascii="Arial" w:hAnsi="Arial" w:cs="Arial"/>
          <w:sz w:val="20"/>
          <w:szCs w:val="20"/>
        </w:rPr>
        <w:t>esimese lause</w:t>
      </w:r>
      <w:r w:rsidRPr="00822CE3">
        <w:rPr>
          <w:rFonts w:ascii="Arial" w:hAnsi="Arial" w:cs="Arial"/>
          <w:sz w:val="20"/>
          <w:szCs w:val="20"/>
        </w:rPr>
        <w:t xml:space="preserve"> kohaselt seatakse eesmärgiks kohturessursi efektiivsem kasutamine ja määruskaebemenetluse kiirendamine. Väidetavalt nende eesmärkide saavutamiseks nähakse p 5.3 alapunkti 1 järgi ühe võimaliku lahendusena ette määruskaebuse vahetu esitamine ringkonnakohtule (v.a kaebused kohtunikuabi või vanemkohtujuristi määrustele). Lisaks laiendatakse alapunktis 2 nende menetlust lõpetavate määruste ringi, mille lahendab üks ringkonnakohtunik.</w:t>
      </w:r>
    </w:p>
    <w:p w14:paraId="403978E3" w14:textId="77777777" w:rsidR="00822CE3" w:rsidRPr="00822CE3" w:rsidRDefault="00822CE3" w:rsidP="00F022A3">
      <w:pPr>
        <w:pStyle w:val="Loendilik"/>
        <w:spacing w:line="240" w:lineRule="auto"/>
        <w:ind w:left="644"/>
        <w:jc w:val="both"/>
        <w:rPr>
          <w:rFonts w:ascii="Arial" w:hAnsi="Arial" w:cs="Arial"/>
          <w:sz w:val="20"/>
          <w:szCs w:val="20"/>
        </w:rPr>
      </w:pPr>
    </w:p>
    <w:p w14:paraId="4A9C07D2" w14:textId="3BCAF467" w:rsidR="00822CE3" w:rsidRPr="00822CE3" w:rsidRDefault="00822CE3" w:rsidP="00F022A3">
      <w:pPr>
        <w:pStyle w:val="Loendilik"/>
        <w:spacing w:line="240" w:lineRule="auto"/>
        <w:ind w:left="644"/>
        <w:jc w:val="both"/>
        <w:rPr>
          <w:rFonts w:ascii="Arial" w:hAnsi="Arial" w:cs="Arial"/>
          <w:sz w:val="20"/>
          <w:szCs w:val="20"/>
        </w:rPr>
      </w:pPr>
      <w:r w:rsidRPr="00822CE3">
        <w:rPr>
          <w:rFonts w:ascii="Arial" w:hAnsi="Arial" w:cs="Arial"/>
          <w:sz w:val="20"/>
          <w:szCs w:val="20"/>
        </w:rPr>
        <w:t xml:space="preserve">Tallinna Ringkonnakohus toetab VTK p 5.3 alapunkti 2 ettepanekut, aga ei toeta alapunkti 1 </w:t>
      </w:r>
      <w:r w:rsidRPr="00847724">
        <w:rPr>
          <w:rFonts w:ascii="Arial" w:hAnsi="Arial" w:cs="Arial"/>
          <w:sz w:val="20"/>
          <w:szCs w:val="20"/>
        </w:rPr>
        <w:t>esimest lauset</w:t>
      </w:r>
      <w:r w:rsidRPr="00822CE3">
        <w:rPr>
          <w:rFonts w:ascii="Arial" w:hAnsi="Arial" w:cs="Arial"/>
          <w:sz w:val="20"/>
          <w:szCs w:val="20"/>
        </w:rPr>
        <w:t xml:space="preserve">. Eelkõige ei järgi viimati viidatud ettepanek VTK </w:t>
      </w:r>
      <w:r w:rsidRPr="00847724">
        <w:rPr>
          <w:rFonts w:ascii="Arial" w:hAnsi="Arial" w:cs="Arial"/>
          <w:sz w:val="20"/>
          <w:szCs w:val="20"/>
        </w:rPr>
        <w:t xml:space="preserve">5. </w:t>
      </w:r>
      <w:r w:rsidRPr="00822CE3">
        <w:rPr>
          <w:rFonts w:ascii="Arial" w:hAnsi="Arial" w:cs="Arial"/>
          <w:sz w:val="20"/>
          <w:szCs w:val="20"/>
        </w:rPr>
        <w:t>osa eesmärke, st nii ei õnnestu kohturessursi efektiivsem kasutamine ega määruskaebemenetluse kiirendamine. Pigem põhjustab muudatus täpselt vastupidise tulemuse. Kui kõnealune õigusmuudatus siiski tehakse, tuleb arvestada ringkonnakohtu töökoormuse olulise suurenemise ja menetlusaja märkimisväärse pikenemisega.</w:t>
      </w:r>
    </w:p>
    <w:p w14:paraId="54205882" w14:textId="77777777" w:rsidR="00822CE3" w:rsidRPr="00847724" w:rsidRDefault="00822CE3" w:rsidP="00F022A3">
      <w:pPr>
        <w:pStyle w:val="Loendilik"/>
        <w:spacing w:line="240" w:lineRule="auto"/>
        <w:ind w:left="644"/>
        <w:jc w:val="both"/>
        <w:rPr>
          <w:rFonts w:ascii="Arial" w:hAnsi="Arial" w:cs="Arial"/>
          <w:sz w:val="20"/>
          <w:szCs w:val="20"/>
        </w:rPr>
      </w:pPr>
    </w:p>
    <w:p w14:paraId="14772326" w14:textId="054F9C58"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VTK ei erista selgelt kaebusi menetluslike ja menetlust lõpetavate määruste peale, viimaste hulgas on omakorda nii hagimenetlust kui ka hagita menetlust lõpetavaid lahendeid. Seetõttu ei ole eriti informatiivne VTK sissejuhatuse joonisel 4 ja selle ees kajastatud määruskaebuste keskmine menetlusaeg – märgitud keskmine 90 päeva ei võta arvesse, et hagita menetluse lõpplahendi peale esitatud kaebus eeldab üldjuhul sisulise (apellatsioon</w:t>
      </w:r>
      <w:r w:rsidR="00D03BE8">
        <w:rPr>
          <w:rFonts w:ascii="Arial" w:hAnsi="Arial" w:cs="Arial"/>
          <w:sz w:val="20"/>
          <w:szCs w:val="20"/>
        </w:rPr>
        <w:t>kaebusega</w:t>
      </w:r>
      <w:r w:rsidRPr="00847724">
        <w:rPr>
          <w:rFonts w:ascii="Arial" w:hAnsi="Arial" w:cs="Arial"/>
          <w:sz w:val="20"/>
          <w:szCs w:val="20"/>
        </w:rPr>
        <w:t xml:space="preserve"> sarnase) õigusvaidluse lahendamist. Samuti pole piisavalt täpne p 5.1.3 statistika, mille kohaselt keskmine menetlusaeg hagita asjas oli 101 päeva, sest ka siin ei eristata hagita asjades esitatud </w:t>
      </w:r>
      <w:proofErr w:type="spellStart"/>
      <w:r w:rsidRPr="00847724">
        <w:rPr>
          <w:rFonts w:ascii="Arial" w:hAnsi="Arial" w:cs="Arial"/>
          <w:sz w:val="20"/>
          <w:szCs w:val="20"/>
        </w:rPr>
        <w:t>menetluslikke</w:t>
      </w:r>
      <w:proofErr w:type="spellEnd"/>
      <w:r w:rsidRPr="00847724">
        <w:rPr>
          <w:rFonts w:ascii="Arial" w:hAnsi="Arial" w:cs="Arial"/>
          <w:sz w:val="20"/>
          <w:szCs w:val="20"/>
        </w:rPr>
        <w:t xml:space="preserve"> kaebusi (nt esialgse õiguskaitse kohaldamisele) ja lõpplahendite vaidlustamist, samuti on siin eristamata Tallinna ja Tartu ringkonnakohtud.</w:t>
      </w:r>
    </w:p>
    <w:p w14:paraId="0CF9AED7" w14:textId="77777777" w:rsidR="00822CE3" w:rsidRPr="00847724" w:rsidRDefault="00822CE3" w:rsidP="00F022A3">
      <w:pPr>
        <w:pStyle w:val="Loendilik"/>
        <w:spacing w:line="240" w:lineRule="auto"/>
        <w:ind w:left="644"/>
        <w:jc w:val="both"/>
        <w:rPr>
          <w:rFonts w:ascii="Arial" w:hAnsi="Arial" w:cs="Arial"/>
          <w:sz w:val="20"/>
          <w:szCs w:val="20"/>
        </w:rPr>
      </w:pPr>
    </w:p>
    <w:p w14:paraId="398C24AC" w14:textId="2AAFC5C1"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 xml:space="preserve">VTK koostamisel aluseks võetud statistilistest andmetest nähtub siiski, et aastatel 2021–2023 saabus ringkonnakohtutesse keskmiselt 2800 tsiviilasja aastas, millest </w:t>
      </w:r>
      <w:r w:rsidRPr="00847724">
        <w:rPr>
          <w:rFonts w:ascii="Arial" w:hAnsi="Arial" w:cs="Arial"/>
          <w:i/>
          <w:iCs/>
          <w:sz w:val="20"/>
          <w:szCs w:val="20"/>
        </w:rPr>
        <w:t>ca</w:t>
      </w:r>
      <w:r w:rsidRPr="00847724">
        <w:rPr>
          <w:rFonts w:ascii="Arial" w:hAnsi="Arial" w:cs="Arial"/>
          <w:sz w:val="20"/>
          <w:szCs w:val="20"/>
        </w:rPr>
        <w:t xml:space="preserve"> 1700 on määruskaebused.</w:t>
      </w:r>
    </w:p>
    <w:p w14:paraId="6F50E8D8" w14:textId="77777777" w:rsidR="00822CE3" w:rsidRPr="00847724" w:rsidRDefault="00822CE3" w:rsidP="00F022A3">
      <w:pPr>
        <w:pStyle w:val="Loendilik"/>
        <w:spacing w:line="240" w:lineRule="auto"/>
        <w:ind w:left="644"/>
        <w:jc w:val="both"/>
        <w:rPr>
          <w:rFonts w:ascii="Arial" w:hAnsi="Arial" w:cs="Arial"/>
          <w:sz w:val="20"/>
          <w:szCs w:val="20"/>
        </w:rPr>
      </w:pPr>
    </w:p>
    <w:p w14:paraId="5067B958" w14:textId="335C9185"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Praeguse menetluskorra järgi teeb maakohus mh järgmised toimingud: kontrollib kaebuse lubatavust, formaalsete eelduste täidetust (sh riigilõiv, allkiri), toimetab kaebuse kätte sellest puudutatud teistele menetlusosalistele ja annab neile vastamise tähtaja. Ringkonnakohus teeb ise samad toimingud apellatsioonimenetlustes. Mõlemas kohtus tegelevad vastava töölõiguga sekretärid ja kohtujuristid, keda maakohtutes on märkimisväärselt rohkem.</w:t>
      </w:r>
    </w:p>
    <w:p w14:paraId="2A97B189" w14:textId="77777777" w:rsidR="00822CE3" w:rsidRPr="00847724" w:rsidRDefault="00822CE3" w:rsidP="00F022A3">
      <w:pPr>
        <w:pStyle w:val="Loendilik"/>
        <w:spacing w:line="240" w:lineRule="auto"/>
        <w:ind w:left="644"/>
        <w:jc w:val="both"/>
        <w:rPr>
          <w:rFonts w:ascii="Arial" w:hAnsi="Arial" w:cs="Arial"/>
          <w:sz w:val="20"/>
          <w:szCs w:val="20"/>
        </w:rPr>
      </w:pPr>
    </w:p>
    <w:p w14:paraId="363E3D29" w14:textId="1D9FE625"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 xml:space="preserve">Kui ringkonnakohus peab tegema ise määruskaebuse menetlusse võtmise toimingud, siis tähendab see vastavas osas sekretäride (eelkõige kättetoimetamine) ja kohtujuristide (formaalsete eelduste kontroll) töömahu kasvu praeguselt </w:t>
      </w:r>
      <w:r w:rsidRPr="00847724">
        <w:rPr>
          <w:rFonts w:ascii="Arial" w:hAnsi="Arial" w:cs="Arial"/>
          <w:i/>
          <w:iCs/>
          <w:sz w:val="20"/>
          <w:szCs w:val="20"/>
        </w:rPr>
        <w:t>ca</w:t>
      </w:r>
      <w:r w:rsidRPr="00847724">
        <w:rPr>
          <w:rFonts w:ascii="Arial" w:hAnsi="Arial" w:cs="Arial"/>
          <w:sz w:val="20"/>
          <w:szCs w:val="20"/>
        </w:rPr>
        <w:t xml:space="preserve"> 900-lt apellatsiooniasjalt peaaegu kolmekordseks. Sekretäride (kättetoimetamise) puhul on märkimisväärne, et see koormus tuleb </w:t>
      </w:r>
      <w:r w:rsidRPr="00847724">
        <w:rPr>
          <w:rFonts w:ascii="Arial" w:hAnsi="Arial" w:cs="Arial"/>
          <w:sz w:val="20"/>
          <w:szCs w:val="20"/>
        </w:rPr>
        <w:lastRenderedPageBreak/>
        <w:t>Tallinna Ringkonnakohtus jagada viie inimese vahel – samal ajal, kui praegu jaguneb see kahe maakohtu kõigi tsiviilvaldkonna sekretäride vahel. Ringkonnakohtute sellist koormuse muudatust VTK ei käsitle ega selgita, mille arvelt või kuidas ringkonnakohtule täiendav ressurss luuakse.</w:t>
      </w:r>
    </w:p>
    <w:p w14:paraId="103B7B17" w14:textId="77777777" w:rsidR="00822CE3" w:rsidRPr="00847724" w:rsidRDefault="00822CE3" w:rsidP="00F022A3">
      <w:pPr>
        <w:pStyle w:val="Loendilik"/>
        <w:spacing w:line="240" w:lineRule="auto"/>
        <w:ind w:left="644"/>
        <w:jc w:val="both"/>
        <w:rPr>
          <w:rFonts w:ascii="Arial" w:hAnsi="Arial" w:cs="Arial"/>
          <w:sz w:val="20"/>
          <w:szCs w:val="20"/>
        </w:rPr>
      </w:pPr>
    </w:p>
    <w:p w14:paraId="39BF6C07" w14:textId="0DE0C370"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Määruskaebuse menetlusajast moodustab formaalne kontroll, kättetoimetamine ja vastuse ootamine menetluslike kaebuste puhul olulise osa. Praegu on ringkonnakohtud püüdnud nimetatud kaebused lahendada 45 päeva jooksul, mis ei ole VTK-s kirjeldatud õigusmuudatuse korral enam võimalik. Võttes arvesse senist kogemust apellatsioonkaebuste menetlusse võtmise, kättetoimetamise ja vastuse ootamise osas, võib eeldada, et asjaomane menetlusaeg vähemalt kahekordistub. Samavõrra pikeneb ka lõpplahenditele esitatud kaebuste menetlemise aeg. Mõlemal juhul on menetlusaja pikenemine veelgi ulatuslikum, kui ringkonnakohtutele ei anta eelmises taandes kirjeldatud olukorraga arvestavat ressurssi. VTK</w:t>
      </w:r>
      <w:r w:rsidR="00A774F8">
        <w:rPr>
          <w:rFonts w:ascii="Arial" w:hAnsi="Arial" w:cs="Arial"/>
          <w:sz w:val="20"/>
          <w:szCs w:val="20"/>
        </w:rPr>
        <w:t>-</w:t>
      </w:r>
      <w:r w:rsidRPr="00847724">
        <w:rPr>
          <w:rFonts w:ascii="Arial" w:hAnsi="Arial" w:cs="Arial"/>
          <w:sz w:val="20"/>
          <w:szCs w:val="20"/>
        </w:rPr>
        <w:t>s puudub analüüs ja ettepanekud, kuidas tuleks muuda norme, mis näevad ette ringkonnakohtus määruskaebuse lahendamise tähtaja.</w:t>
      </w:r>
    </w:p>
    <w:p w14:paraId="2E547FBE" w14:textId="77777777" w:rsidR="00822CE3" w:rsidRPr="00847724" w:rsidRDefault="00822CE3" w:rsidP="00F022A3">
      <w:pPr>
        <w:pStyle w:val="Loendilik"/>
        <w:spacing w:line="240" w:lineRule="auto"/>
        <w:ind w:left="644"/>
        <w:jc w:val="both"/>
        <w:rPr>
          <w:rFonts w:ascii="Arial" w:hAnsi="Arial" w:cs="Arial"/>
          <w:sz w:val="20"/>
          <w:szCs w:val="20"/>
        </w:rPr>
      </w:pPr>
    </w:p>
    <w:p w14:paraId="4E7696CE" w14:textId="2637143A"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Eeltoodud kaalutlustel on ebaõige VTK p 8.5 hinnang, et ringkonnakohtute töökoormus ei tohiks määruskaebekorra muutmisega märgatavalt kasvada. Siinjuures on jäetud tähelepanuta, et VTK</w:t>
      </w:r>
      <w:r w:rsidR="00A774F8">
        <w:rPr>
          <w:rFonts w:ascii="Arial" w:hAnsi="Arial" w:cs="Arial"/>
          <w:sz w:val="20"/>
          <w:szCs w:val="20"/>
        </w:rPr>
        <w:t> </w:t>
      </w:r>
      <w:r w:rsidRPr="00847724">
        <w:rPr>
          <w:rFonts w:ascii="Arial" w:hAnsi="Arial" w:cs="Arial"/>
          <w:sz w:val="20"/>
          <w:szCs w:val="20"/>
        </w:rPr>
        <w:t>p 5.3 alapunkti 2 ettepanek ei vähenda sekretäride ega kohtujuristide töökoormust, kuid alapunkti 1 realiseerumisel toimub peamine koormuse suurenemine just nende osas.</w:t>
      </w:r>
    </w:p>
    <w:p w14:paraId="43844B42" w14:textId="77777777" w:rsidR="00822CE3" w:rsidRPr="00847724" w:rsidRDefault="00822CE3" w:rsidP="00F022A3">
      <w:pPr>
        <w:pStyle w:val="Loendilik"/>
        <w:spacing w:line="240" w:lineRule="auto"/>
        <w:ind w:left="644"/>
        <w:jc w:val="both"/>
        <w:rPr>
          <w:rFonts w:ascii="Arial" w:hAnsi="Arial" w:cs="Arial"/>
          <w:sz w:val="20"/>
          <w:szCs w:val="20"/>
        </w:rPr>
      </w:pPr>
    </w:p>
    <w:p w14:paraId="3684492F" w14:textId="6124DC45" w:rsidR="00822CE3" w:rsidRPr="00847724" w:rsidRDefault="00822CE3" w:rsidP="00F022A3">
      <w:pPr>
        <w:pStyle w:val="Loendilik"/>
        <w:spacing w:line="240" w:lineRule="auto"/>
        <w:ind w:left="644"/>
        <w:jc w:val="both"/>
        <w:rPr>
          <w:rFonts w:ascii="Arial" w:hAnsi="Arial" w:cs="Arial"/>
          <w:sz w:val="20"/>
          <w:szCs w:val="20"/>
        </w:rPr>
      </w:pPr>
      <w:r w:rsidRPr="00847724">
        <w:rPr>
          <w:rFonts w:ascii="Arial" w:hAnsi="Arial" w:cs="Arial"/>
          <w:sz w:val="20"/>
          <w:szCs w:val="20"/>
        </w:rPr>
        <w:t>Menetluslike määruskaebuste suunamine vahetult ringkonnakohtusse võtab maakohtult võimaluse korraldada menetlust sujuvalt, arvestades paralleelse kaebemenetlusega. Kaebuse saamisel nõuab ringkonnakohus maakohtust välja asja toimiku (kui see ei ole veel digitaalne), mis võib sisuliselt peatada põhimenetluse lahendamise. Nii paber- kui ka digitoimiku korral võib olla raskendatud toimikus kronoloogilise ja loogilise järjekorra pidamine, kui menetlusosalised esitavad samal ajal dokumente nii põhi- kui kaebemenetluses.</w:t>
      </w:r>
    </w:p>
    <w:p w14:paraId="366CC8DA" w14:textId="77777777" w:rsidR="009B36F5" w:rsidRPr="00847724" w:rsidRDefault="009B36F5" w:rsidP="00F022A3">
      <w:pPr>
        <w:pStyle w:val="Loendilik"/>
        <w:spacing w:line="240" w:lineRule="auto"/>
        <w:ind w:left="644"/>
        <w:jc w:val="both"/>
        <w:rPr>
          <w:rFonts w:ascii="Arial" w:hAnsi="Arial" w:cs="Arial"/>
          <w:sz w:val="20"/>
          <w:szCs w:val="20"/>
        </w:rPr>
      </w:pPr>
    </w:p>
    <w:p w14:paraId="06621C08" w14:textId="77777777" w:rsidR="009B36F5" w:rsidRPr="00847724" w:rsidRDefault="009B36F5" w:rsidP="00F022A3">
      <w:pPr>
        <w:pStyle w:val="Loendilik"/>
        <w:numPr>
          <w:ilvl w:val="0"/>
          <w:numId w:val="2"/>
        </w:numPr>
        <w:spacing w:line="240" w:lineRule="auto"/>
        <w:jc w:val="both"/>
        <w:rPr>
          <w:rFonts w:ascii="Arial" w:hAnsi="Arial" w:cs="Arial"/>
          <w:b/>
          <w:bCs/>
          <w:sz w:val="20"/>
          <w:szCs w:val="20"/>
        </w:rPr>
      </w:pPr>
      <w:r w:rsidRPr="00847724">
        <w:rPr>
          <w:rFonts w:ascii="Arial" w:hAnsi="Arial" w:cs="Arial"/>
          <w:b/>
          <w:bCs/>
          <w:sz w:val="20"/>
          <w:szCs w:val="20"/>
        </w:rPr>
        <w:t xml:space="preserve">Kaja esitamine </w:t>
      </w:r>
      <w:proofErr w:type="spellStart"/>
      <w:r w:rsidRPr="00847724">
        <w:rPr>
          <w:rFonts w:ascii="Arial" w:hAnsi="Arial" w:cs="Arial"/>
          <w:b/>
          <w:bCs/>
          <w:sz w:val="20"/>
          <w:szCs w:val="20"/>
        </w:rPr>
        <w:t>tagaseljaotsuse</w:t>
      </w:r>
      <w:proofErr w:type="spellEnd"/>
      <w:r w:rsidRPr="00847724">
        <w:rPr>
          <w:rFonts w:ascii="Arial" w:hAnsi="Arial" w:cs="Arial"/>
          <w:b/>
          <w:bCs/>
          <w:sz w:val="20"/>
          <w:szCs w:val="20"/>
        </w:rPr>
        <w:t xml:space="preserve"> peale</w:t>
      </w:r>
    </w:p>
    <w:p w14:paraId="7CDA014C" w14:textId="77777777" w:rsidR="009B36F5" w:rsidRPr="00847724" w:rsidRDefault="009B36F5" w:rsidP="00F022A3">
      <w:pPr>
        <w:pStyle w:val="Loendilik"/>
        <w:spacing w:line="240" w:lineRule="auto"/>
        <w:ind w:left="644"/>
        <w:jc w:val="both"/>
        <w:rPr>
          <w:rFonts w:ascii="Arial" w:hAnsi="Arial" w:cs="Arial"/>
          <w:sz w:val="20"/>
          <w:szCs w:val="20"/>
        </w:rPr>
      </w:pPr>
    </w:p>
    <w:p w14:paraId="5270A8C2" w14:textId="77777777" w:rsidR="009B36F5" w:rsidRPr="00847724" w:rsidRDefault="009B36F5" w:rsidP="00F022A3">
      <w:pPr>
        <w:pStyle w:val="Loendilik"/>
        <w:spacing w:line="240" w:lineRule="auto"/>
        <w:ind w:left="644"/>
        <w:jc w:val="both"/>
        <w:rPr>
          <w:rFonts w:ascii="Arial" w:hAnsi="Arial" w:cs="Arial"/>
          <w:sz w:val="20"/>
          <w:szCs w:val="20"/>
        </w:rPr>
      </w:pPr>
      <w:r w:rsidRPr="00847724">
        <w:rPr>
          <w:rFonts w:ascii="Arial" w:hAnsi="Arial" w:cs="Arial"/>
          <w:color w:val="202020"/>
          <w:sz w:val="20"/>
          <w:szCs w:val="20"/>
        </w:rPr>
        <w:t xml:space="preserve">Toetame </w:t>
      </w:r>
      <w:proofErr w:type="spellStart"/>
      <w:r w:rsidRPr="00847724">
        <w:rPr>
          <w:rFonts w:ascii="Arial" w:hAnsi="Arial" w:cs="Arial"/>
          <w:color w:val="202020"/>
          <w:sz w:val="20"/>
          <w:szCs w:val="20"/>
        </w:rPr>
        <w:t>tagaseljaotsustele</w:t>
      </w:r>
      <w:proofErr w:type="spellEnd"/>
      <w:r w:rsidRPr="00847724">
        <w:rPr>
          <w:rFonts w:ascii="Arial" w:hAnsi="Arial" w:cs="Arial"/>
          <w:color w:val="202020"/>
          <w:sz w:val="20"/>
          <w:szCs w:val="20"/>
        </w:rPr>
        <w:t xml:space="preserve"> kaja esitamise tähtaja lühendamist ja tähtaja alguse sidumist lahendist, mitte täitemenetlusest teada saamisega.</w:t>
      </w:r>
    </w:p>
    <w:p w14:paraId="470706E6" w14:textId="77777777" w:rsidR="009B36F5" w:rsidRPr="00847724" w:rsidRDefault="009B36F5" w:rsidP="00F022A3">
      <w:pPr>
        <w:pStyle w:val="Loendilik"/>
        <w:spacing w:line="240" w:lineRule="auto"/>
        <w:ind w:left="644"/>
        <w:jc w:val="both"/>
        <w:rPr>
          <w:rFonts w:ascii="Arial" w:hAnsi="Arial" w:cs="Arial"/>
          <w:sz w:val="20"/>
          <w:szCs w:val="20"/>
        </w:rPr>
      </w:pPr>
    </w:p>
    <w:p w14:paraId="73A07906" w14:textId="77777777" w:rsidR="009B36F5" w:rsidRPr="00847724" w:rsidRDefault="009B36F5" w:rsidP="00F022A3">
      <w:pPr>
        <w:pStyle w:val="Loendilik"/>
        <w:numPr>
          <w:ilvl w:val="0"/>
          <w:numId w:val="2"/>
        </w:numPr>
        <w:spacing w:line="240" w:lineRule="auto"/>
        <w:jc w:val="both"/>
        <w:rPr>
          <w:rFonts w:ascii="Arial" w:hAnsi="Arial" w:cs="Arial"/>
          <w:b/>
          <w:bCs/>
          <w:sz w:val="20"/>
          <w:szCs w:val="20"/>
        </w:rPr>
      </w:pPr>
      <w:r w:rsidRPr="00847724">
        <w:rPr>
          <w:rFonts w:ascii="Arial" w:hAnsi="Arial" w:cs="Arial"/>
          <w:b/>
          <w:bCs/>
          <w:sz w:val="20"/>
          <w:szCs w:val="20"/>
        </w:rPr>
        <w:t>Riigilõivu tagastamine kohtu algatusel</w:t>
      </w:r>
    </w:p>
    <w:p w14:paraId="6E4FC25A" w14:textId="77777777" w:rsidR="009B36F5" w:rsidRPr="00847724" w:rsidRDefault="009B36F5" w:rsidP="00F022A3">
      <w:pPr>
        <w:pStyle w:val="Loendilik"/>
        <w:spacing w:line="240" w:lineRule="auto"/>
        <w:ind w:left="644"/>
        <w:jc w:val="both"/>
        <w:rPr>
          <w:rFonts w:ascii="Arial" w:hAnsi="Arial" w:cs="Arial"/>
          <w:b/>
          <w:bCs/>
          <w:sz w:val="20"/>
          <w:szCs w:val="20"/>
        </w:rPr>
      </w:pPr>
      <w:r w:rsidRPr="00847724">
        <w:rPr>
          <w:rFonts w:ascii="Arial" w:hAnsi="Arial" w:cs="Arial"/>
          <w:b/>
          <w:bCs/>
          <w:sz w:val="20"/>
          <w:szCs w:val="20"/>
        </w:rPr>
        <w:t xml:space="preserve"> </w:t>
      </w:r>
    </w:p>
    <w:p w14:paraId="04DFFB8C" w14:textId="70BC7CA2" w:rsidR="009B36F5" w:rsidRPr="00847724" w:rsidRDefault="009B36F5" w:rsidP="00F022A3">
      <w:pPr>
        <w:pStyle w:val="Loendilik"/>
        <w:spacing w:line="240" w:lineRule="auto"/>
        <w:ind w:left="644"/>
        <w:jc w:val="both"/>
        <w:rPr>
          <w:rFonts w:ascii="Arial" w:hAnsi="Arial" w:cs="Arial"/>
          <w:bCs/>
          <w:sz w:val="20"/>
          <w:szCs w:val="20"/>
        </w:rPr>
      </w:pPr>
      <w:r w:rsidRPr="00847724">
        <w:rPr>
          <w:rFonts w:ascii="Arial" w:hAnsi="Arial" w:cs="Arial"/>
          <w:bCs/>
          <w:sz w:val="20"/>
          <w:szCs w:val="20"/>
        </w:rPr>
        <w:t xml:space="preserve">Nõustume, et riigilõivu tagastamise avalduse ootamine ja eraldi menetlemine ei ole otstarbekas. </w:t>
      </w:r>
      <w:r w:rsidR="003109E8" w:rsidRPr="00847724">
        <w:rPr>
          <w:rFonts w:ascii="Arial" w:hAnsi="Arial" w:cs="Arial"/>
          <w:bCs/>
          <w:sz w:val="20"/>
          <w:szCs w:val="20"/>
        </w:rPr>
        <w:t xml:space="preserve">Sarnaselt halduskohtumenetluse seadustiku § 104 </w:t>
      </w:r>
      <w:proofErr w:type="spellStart"/>
      <w:r w:rsidR="003109E8" w:rsidRPr="00847724">
        <w:rPr>
          <w:rFonts w:ascii="Arial" w:hAnsi="Arial" w:cs="Arial"/>
          <w:bCs/>
          <w:sz w:val="20"/>
          <w:szCs w:val="20"/>
        </w:rPr>
        <w:t>lg-ga</w:t>
      </w:r>
      <w:proofErr w:type="spellEnd"/>
      <w:r w:rsidR="003109E8" w:rsidRPr="00847724">
        <w:rPr>
          <w:rFonts w:ascii="Arial" w:hAnsi="Arial" w:cs="Arial"/>
          <w:bCs/>
          <w:sz w:val="20"/>
          <w:szCs w:val="20"/>
        </w:rPr>
        <w:t xml:space="preserve"> 8 võiks ka tsiviilasjades olla k</w:t>
      </w:r>
      <w:r w:rsidRPr="00847724">
        <w:rPr>
          <w:rFonts w:ascii="Arial" w:hAnsi="Arial" w:cs="Arial"/>
          <w:bCs/>
          <w:sz w:val="20"/>
          <w:szCs w:val="20"/>
        </w:rPr>
        <w:t xml:space="preserve">ohtul </w:t>
      </w:r>
      <w:r w:rsidR="003109E8" w:rsidRPr="00847724">
        <w:rPr>
          <w:rFonts w:ascii="Arial" w:hAnsi="Arial" w:cs="Arial"/>
          <w:bCs/>
          <w:sz w:val="20"/>
          <w:szCs w:val="20"/>
        </w:rPr>
        <w:t xml:space="preserve">võimalus </w:t>
      </w:r>
      <w:r w:rsidRPr="00847724">
        <w:rPr>
          <w:rFonts w:ascii="Arial" w:hAnsi="Arial" w:cs="Arial"/>
          <w:bCs/>
          <w:sz w:val="20"/>
          <w:szCs w:val="20"/>
        </w:rPr>
        <w:t xml:space="preserve">ka endal </w:t>
      </w:r>
      <w:r w:rsidR="003109E8" w:rsidRPr="00847724">
        <w:rPr>
          <w:rFonts w:ascii="Arial" w:hAnsi="Arial" w:cs="Arial"/>
          <w:bCs/>
          <w:sz w:val="20"/>
          <w:szCs w:val="20"/>
        </w:rPr>
        <w:t xml:space="preserve">riigilõiv </w:t>
      </w:r>
      <w:r w:rsidRPr="00847724">
        <w:rPr>
          <w:rFonts w:ascii="Arial" w:hAnsi="Arial" w:cs="Arial"/>
          <w:bCs/>
          <w:sz w:val="20"/>
          <w:szCs w:val="20"/>
        </w:rPr>
        <w:t>seaduses sätestatud juhtudel tagastada.</w:t>
      </w:r>
    </w:p>
    <w:p w14:paraId="5A1AD3BA" w14:textId="77777777" w:rsidR="00101F7F" w:rsidRPr="00847724" w:rsidRDefault="00101F7F" w:rsidP="00F022A3">
      <w:pPr>
        <w:jc w:val="both"/>
        <w:rPr>
          <w:rFonts w:cs="Arial"/>
          <w:bCs/>
          <w:szCs w:val="20"/>
        </w:rPr>
      </w:pPr>
    </w:p>
    <w:p w14:paraId="5B92A807" w14:textId="77777777" w:rsidR="006F46C0" w:rsidRDefault="006F46C0" w:rsidP="00F022A3">
      <w:pPr>
        <w:jc w:val="both"/>
        <w:rPr>
          <w:rFonts w:cs="Arial"/>
          <w:bCs/>
          <w:szCs w:val="20"/>
        </w:rPr>
      </w:pPr>
    </w:p>
    <w:p w14:paraId="7BB779EF" w14:textId="36A10D94" w:rsidR="00101F7F" w:rsidRPr="00847724" w:rsidRDefault="00101F7F" w:rsidP="00F022A3">
      <w:pPr>
        <w:jc w:val="both"/>
        <w:rPr>
          <w:rFonts w:cs="Arial"/>
          <w:bCs/>
          <w:szCs w:val="20"/>
        </w:rPr>
      </w:pPr>
      <w:r w:rsidRPr="00847724">
        <w:rPr>
          <w:rFonts w:cs="Arial"/>
          <w:bCs/>
          <w:szCs w:val="20"/>
        </w:rPr>
        <w:t>Lugupidamisega</w:t>
      </w:r>
    </w:p>
    <w:p w14:paraId="283D46D7" w14:textId="77777777" w:rsidR="00101F7F" w:rsidRPr="00847724" w:rsidRDefault="00101F7F" w:rsidP="00F022A3">
      <w:pPr>
        <w:jc w:val="both"/>
        <w:rPr>
          <w:rFonts w:cs="Arial"/>
          <w:bCs/>
          <w:szCs w:val="20"/>
        </w:rPr>
      </w:pPr>
    </w:p>
    <w:p w14:paraId="00BB9072" w14:textId="77777777" w:rsidR="006F46C0" w:rsidRPr="00847724" w:rsidRDefault="006F46C0" w:rsidP="006F46C0">
      <w:pPr>
        <w:spacing w:line="259" w:lineRule="auto"/>
        <w:jc w:val="both"/>
        <w:rPr>
          <w:rFonts w:cs="Arial"/>
          <w:bCs/>
          <w:szCs w:val="20"/>
        </w:rPr>
      </w:pPr>
      <w:r w:rsidRPr="00847724">
        <w:rPr>
          <w:rFonts w:cs="Arial"/>
          <w:bCs/>
          <w:szCs w:val="20"/>
        </w:rPr>
        <w:t>(allkirjastatud digitaalselt)</w:t>
      </w:r>
    </w:p>
    <w:p w14:paraId="2CEE1EEE" w14:textId="77777777" w:rsidR="00C82A96" w:rsidRPr="00847724" w:rsidRDefault="00C82A96" w:rsidP="00101F7F">
      <w:pPr>
        <w:spacing w:line="259" w:lineRule="auto"/>
        <w:jc w:val="both"/>
        <w:rPr>
          <w:rFonts w:cs="Arial"/>
          <w:bCs/>
          <w:szCs w:val="20"/>
        </w:rPr>
      </w:pPr>
    </w:p>
    <w:p w14:paraId="68E4F53F" w14:textId="43044297" w:rsidR="00101F7F" w:rsidRPr="00847724" w:rsidRDefault="00101F7F" w:rsidP="00101F7F">
      <w:pPr>
        <w:spacing w:line="259" w:lineRule="auto"/>
        <w:jc w:val="both"/>
        <w:rPr>
          <w:rFonts w:cs="Arial"/>
          <w:bCs/>
          <w:szCs w:val="20"/>
        </w:rPr>
      </w:pPr>
      <w:r w:rsidRPr="00847724">
        <w:rPr>
          <w:rFonts w:cs="Arial"/>
          <w:bCs/>
          <w:szCs w:val="20"/>
        </w:rPr>
        <w:t>Kristjan Siigur</w:t>
      </w:r>
    </w:p>
    <w:p w14:paraId="3C3E6214" w14:textId="07B03B4B" w:rsidR="00101F7F" w:rsidRPr="00847724" w:rsidRDefault="00101F7F" w:rsidP="00101F7F">
      <w:pPr>
        <w:spacing w:line="259" w:lineRule="auto"/>
        <w:jc w:val="both"/>
        <w:rPr>
          <w:rFonts w:cs="Arial"/>
          <w:bCs/>
          <w:szCs w:val="20"/>
        </w:rPr>
      </w:pPr>
      <w:r w:rsidRPr="00847724">
        <w:rPr>
          <w:rFonts w:cs="Arial"/>
          <w:bCs/>
          <w:szCs w:val="20"/>
        </w:rPr>
        <w:t>Tallinna Ringkonnakohtu esimees</w:t>
      </w:r>
    </w:p>
    <w:p w14:paraId="583496C1" w14:textId="77777777" w:rsidR="00C82A96" w:rsidRPr="00847724" w:rsidRDefault="00C82A96" w:rsidP="00101F7F">
      <w:pPr>
        <w:spacing w:line="259" w:lineRule="auto"/>
        <w:jc w:val="both"/>
        <w:rPr>
          <w:rFonts w:cs="Arial"/>
          <w:bCs/>
          <w:szCs w:val="20"/>
        </w:rPr>
      </w:pPr>
    </w:p>
    <w:p w14:paraId="1FC1DF49" w14:textId="77777777" w:rsidR="009B36F5" w:rsidRPr="00847724" w:rsidRDefault="009B36F5" w:rsidP="009B36F5">
      <w:pPr>
        <w:rPr>
          <w:rFonts w:cs="Arial"/>
          <w:szCs w:val="20"/>
        </w:rPr>
      </w:pPr>
    </w:p>
    <w:p w14:paraId="56B1FF22" w14:textId="77777777" w:rsidR="009B36F5" w:rsidRPr="00847724" w:rsidRDefault="009B36F5" w:rsidP="002142C8">
      <w:pPr>
        <w:jc w:val="both"/>
        <w:rPr>
          <w:rFonts w:cs="Arial"/>
          <w:szCs w:val="20"/>
        </w:rPr>
      </w:pPr>
    </w:p>
    <w:sectPr w:rsidR="009B36F5" w:rsidRPr="00847724" w:rsidSect="00811E61">
      <w:headerReference w:type="first" r:id="rId10"/>
      <w:footerReference w:type="first" r:id="rId11"/>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DA81F" w14:textId="77777777" w:rsidR="005F41C1" w:rsidRDefault="005F41C1" w:rsidP="00DA1915">
      <w:r>
        <w:separator/>
      </w:r>
    </w:p>
  </w:endnote>
  <w:endnote w:type="continuationSeparator" w:id="0">
    <w:p w14:paraId="29642CF7" w14:textId="77777777" w:rsidR="005F41C1" w:rsidRDefault="005F41C1"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7A61B1CE" w14:textId="77777777" w:rsidR="007B7B17" w:rsidRDefault="007B7B17" w:rsidP="007B7B17">
                          <w:pPr>
                            <w:jc w:val="center"/>
                            <w:rPr>
                              <w:rStyle w:val="Hperlink"/>
                              <w:rFonts w:cs="Arial"/>
                              <w:color w:val="FFFFFF" w:themeColor="background1"/>
                              <w:sz w:val="19"/>
                              <w:szCs w:val="19"/>
                            </w:rPr>
                          </w:pPr>
                          <w:r w:rsidRPr="0073644E">
                            <w:rPr>
                              <w:rFonts w:cs="Arial"/>
                              <w:color w:val="FFFFFF" w:themeColor="background1"/>
                              <w:sz w:val="19"/>
                              <w:szCs w:val="19"/>
                            </w:rPr>
                            <w:t xml:space="preserve">Aadress: Pärnu mnt 7, 15084 Tallinn; registrikood 74001943; telefon: 628 2784;e-post: </w:t>
                          </w:r>
                          <w:hyperlink r:id="rId1" w:history="1">
                            <w:r w:rsidRPr="0073644E">
                              <w:rPr>
                                <w:rStyle w:val="Hperlink"/>
                                <w:rFonts w:cs="Arial"/>
                                <w:color w:val="FFFFFF" w:themeColor="background1"/>
                                <w:sz w:val="19"/>
                                <w:szCs w:val="19"/>
                              </w:rPr>
                              <w:t>talrk.info@kohus.ee</w:t>
                            </w:r>
                          </w:hyperlink>
                          <w:r w:rsidRPr="0073644E">
                            <w:rPr>
                              <w:rStyle w:val="Hperlink"/>
                              <w:rFonts w:cs="Arial"/>
                              <w:color w:val="FFFFFF" w:themeColor="background1"/>
                              <w:sz w:val="19"/>
                              <w:szCs w:val="19"/>
                            </w:rPr>
                            <w:t xml:space="preserve">  </w:t>
                          </w:r>
                        </w:p>
                        <w:p w14:paraId="10EF35D1" w14:textId="77777777" w:rsidR="007B7B17" w:rsidRPr="0062638A" w:rsidRDefault="007B7B17" w:rsidP="007B7B17">
                          <w:pPr>
                            <w:jc w:val="center"/>
                            <w:rPr>
                              <w:rFonts w:cs="Arial"/>
                              <w:color w:val="FFFFFF" w:themeColor="background1"/>
                              <w:sz w:val="19"/>
                              <w:szCs w:val="19"/>
                            </w:rPr>
                          </w:pPr>
                          <w:r w:rsidRPr="0073644E">
                            <w:rPr>
                              <w:rFonts w:eastAsia="Times New Roman" w:cs="Arial"/>
                              <w:color w:val="FFFFFF" w:themeColor="background1"/>
                              <w:sz w:val="19"/>
                              <w:szCs w:val="19"/>
                              <w:lang w:eastAsia="et-EE"/>
                            </w:rPr>
                            <w:t xml:space="preserve">Lisainfo: </w:t>
                          </w:r>
                          <w:hyperlink r:id="rId2" w:history="1">
                            <w:r w:rsidRPr="0073644E">
                              <w:rPr>
                                <w:rStyle w:val="Hperlink"/>
                                <w:rFonts w:eastAsia="Times New Roman" w:cs="Arial"/>
                                <w:color w:val="FFFFFF" w:themeColor="background1"/>
                                <w:sz w:val="19"/>
                                <w:szCs w:val="19"/>
                                <w:lang w:eastAsia="et-EE"/>
                              </w:rPr>
                              <w:t>www.kohus.ee</w:t>
                            </w:r>
                          </w:hyperlink>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7A61B1CE" w14:textId="77777777" w:rsidR="007B7B17" w:rsidRDefault="007B7B17" w:rsidP="007B7B17">
                    <w:pPr>
                      <w:jc w:val="center"/>
                      <w:rPr>
                        <w:rStyle w:val="Hperlink"/>
                        <w:rFonts w:cs="Arial"/>
                        <w:color w:val="FFFFFF" w:themeColor="background1"/>
                        <w:sz w:val="19"/>
                        <w:szCs w:val="19"/>
                      </w:rPr>
                    </w:pPr>
                    <w:r w:rsidRPr="0073644E">
                      <w:rPr>
                        <w:rFonts w:cs="Arial"/>
                        <w:color w:val="FFFFFF" w:themeColor="background1"/>
                        <w:sz w:val="19"/>
                        <w:szCs w:val="19"/>
                      </w:rPr>
                      <w:t xml:space="preserve">Aadress: Pärnu mnt 7, 15084 Tallinn; registrikood 74001943; telefon: 628 2784;e-post: </w:t>
                    </w:r>
                    <w:hyperlink r:id="rId3" w:history="1">
                      <w:r w:rsidRPr="0073644E">
                        <w:rPr>
                          <w:rStyle w:val="Hperlink"/>
                          <w:rFonts w:cs="Arial"/>
                          <w:color w:val="FFFFFF" w:themeColor="background1"/>
                          <w:sz w:val="19"/>
                          <w:szCs w:val="19"/>
                        </w:rPr>
                        <w:t>talrk.info@kohus.ee</w:t>
                      </w:r>
                    </w:hyperlink>
                    <w:r w:rsidRPr="0073644E">
                      <w:rPr>
                        <w:rStyle w:val="Hperlink"/>
                        <w:rFonts w:cs="Arial"/>
                        <w:color w:val="FFFFFF" w:themeColor="background1"/>
                        <w:sz w:val="19"/>
                        <w:szCs w:val="19"/>
                      </w:rPr>
                      <w:t xml:space="preserve">  </w:t>
                    </w:r>
                  </w:p>
                  <w:p w14:paraId="10EF35D1" w14:textId="77777777" w:rsidR="007B7B17" w:rsidRPr="0062638A" w:rsidRDefault="007B7B17" w:rsidP="007B7B17">
                    <w:pPr>
                      <w:jc w:val="center"/>
                      <w:rPr>
                        <w:rFonts w:cs="Arial"/>
                        <w:color w:val="FFFFFF" w:themeColor="background1"/>
                        <w:sz w:val="19"/>
                        <w:szCs w:val="19"/>
                      </w:rPr>
                    </w:pPr>
                    <w:r w:rsidRPr="0073644E">
                      <w:rPr>
                        <w:rFonts w:eastAsia="Times New Roman" w:cs="Arial"/>
                        <w:color w:val="FFFFFF" w:themeColor="background1"/>
                        <w:sz w:val="19"/>
                        <w:szCs w:val="19"/>
                        <w:lang w:eastAsia="et-EE"/>
                      </w:rPr>
                      <w:t xml:space="preserve">Lisainfo: </w:t>
                    </w:r>
                    <w:hyperlink r:id="rId4" w:history="1">
                      <w:r w:rsidRPr="0073644E">
                        <w:rPr>
                          <w:rStyle w:val="Hperlink"/>
                          <w:rFonts w:eastAsia="Times New Roman" w:cs="Arial"/>
                          <w:color w:val="FFFFFF" w:themeColor="background1"/>
                          <w:sz w:val="19"/>
                          <w:szCs w:val="19"/>
                          <w:lang w:eastAsia="et-EE"/>
                        </w:rPr>
                        <w:t>www.kohus.ee</w:t>
                      </w:r>
                    </w:hyperlink>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7262F" w14:textId="77777777" w:rsidR="005F41C1" w:rsidRDefault="005F41C1" w:rsidP="00DA1915">
      <w:r>
        <w:separator/>
      </w:r>
    </w:p>
  </w:footnote>
  <w:footnote w:type="continuationSeparator" w:id="0">
    <w:p w14:paraId="5B5CB830" w14:textId="77777777" w:rsidR="005F41C1" w:rsidRDefault="005F41C1"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C700" w14:textId="3371950F" w:rsidR="00C94E3C" w:rsidRDefault="007B7B17">
    <w:pPr>
      <w:pStyle w:val="Pis"/>
    </w:pPr>
    <w:r w:rsidRPr="004C3C33">
      <w:rPr>
        <w:noProof/>
        <w:lang w:eastAsia="et-EE"/>
      </w:rPr>
      <w:drawing>
        <wp:anchor distT="0" distB="0" distL="114300" distR="114300" simplePos="0" relativeHeight="251677696" behindDoc="0" locked="0" layoutInCell="1" allowOverlap="1" wp14:anchorId="27702E74" wp14:editId="7EC84110">
          <wp:simplePos x="0" y="0"/>
          <wp:positionH relativeFrom="page">
            <wp:align>center</wp:align>
          </wp:positionH>
          <wp:positionV relativeFrom="page">
            <wp:align>top</wp:align>
          </wp:positionV>
          <wp:extent cx="2401200" cy="144000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0" locked="0" layoutInCell="1" allowOverlap="1" wp14:anchorId="56118C56" wp14:editId="473766DA">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C9CD"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F33D9"/>
    <w:multiLevelType w:val="hybridMultilevel"/>
    <w:tmpl w:val="1A94E4E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B6B23D4"/>
    <w:multiLevelType w:val="hybridMultilevel"/>
    <w:tmpl w:val="F23EFD30"/>
    <w:lvl w:ilvl="0" w:tplc="7A801098">
      <w:start w:val="1"/>
      <w:numFmt w:val="decimal"/>
      <w:lvlText w:val="%1."/>
      <w:lvlJc w:val="left"/>
      <w:pPr>
        <w:ind w:left="644" w:hanging="360"/>
      </w:pPr>
      <w:rPr>
        <w:b w:val="0"/>
        <w:bCs w:val="0"/>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num w:numId="1" w16cid:durableId="315376854">
    <w:abstractNumId w:val="0"/>
  </w:num>
  <w:num w:numId="2" w16cid:durableId="65746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50D1F"/>
    <w:rsid w:val="000D7F91"/>
    <w:rsid w:val="00101F7F"/>
    <w:rsid w:val="00130A2F"/>
    <w:rsid w:val="001444F8"/>
    <w:rsid w:val="00155A80"/>
    <w:rsid w:val="00175CC1"/>
    <w:rsid w:val="001A0D48"/>
    <w:rsid w:val="001C4756"/>
    <w:rsid w:val="001C7565"/>
    <w:rsid w:val="002142C8"/>
    <w:rsid w:val="00224945"/>
    <w:rsid w:val="00225B96"/>
    <w:rsid w:val="002719AB"/>
    <w:rsid w:val="003109E8"/>
    <w:rsid w:val="00394853"/>
    <w:rsid w:val="003A3813"/>
    <w:rsid w:val="003A6D85"/>
    <w:rsid w:val="003C7AB3"/>
    <w:rsid w:val="003D41E3"/>
    <w:rsid w:val="003F0460"/>
    <w:rsid w:val="003F6F57"/>
    <w:rsid w:val="004365BC"/>
    <w:rsid w:val="004834B8"/>
    <w:rsid w:val="004900A5"/>
    <w:rsid w:val="004A1192"/>
    <w:rsid w:val="004F44F8"/>
    <w:rsid w:val="0051481A"/>
    <w:rsid w:val="00556EC4"/>
    <w:rsid w:val="0055716E"/>
    <w:rsid w:val="00572025"/>
    <w:rsid w:val="005F0FF9"/>
    <w:rsid w:val="005F40CD"/>
    <w:rsid w:val="005F41C1"/>
    <w:rsid w:val="00630287"/>
    <w:rsid w:val="0064072D"/>
    <w:rsid w:val="006444D2"/>
    <w:rsid w:val="006A69E8"/>
    <w:rsid w:val="006B1210"/>
    <w:rsid w:val="006D5809"/>
    <w:rsid w:val="006F02D2"/>
    <w:rsid w:val="006F46C0"/>
    <w:rsid w:val="00791DB2"/>
    <w:rsid w:val="007944E0"/>
    <w:rsid w:val="007A50F1"/>
    <w:rsid w:val="007B7B17"/>
    <w:rsid w:val="007D154A"/>
    <w:rsid w:val="00800289"/>
    <w:rsid w:val="00811E61"/>
    <w:rsid w:val="00822CE3"/>
    <w:rsid w:val="00847724"/>
    <w:rsid w:val="00853630"/>
    <w:rsid w:val="008544DD"/>
    <w:rsid w:val="00873A81"/>
    <w:rsid w:val="008F0FC9"/>
    <w:rsid w:val="00943857"/>
    <w:rsid w:val="0094633F"/>
    <w:rsid w:val="009B36F5"/>
    <w:rsid w:val="009B5A17"/>
    <w:rsid w:val="009E3FA1"/>
    <w:rsid w:val="009F47D7"/>
    <w:rsid w:val="00A07123"/>
    <w:rsid w:val="00A10924"/>
    <w:rsid w:val="00A252B8"/>
    <w:rsid w:val="00A279CA"/>
    <w:rsid w:val="00A3029D"/>
    <w:rsid w:val="00A52543"/>
    <w:rsid w:val="00A774F8"/>
    <w:rsid w:val="00AA2AFB"/>
    <w:rsid w:val="00AB2218"/>
    <w:rsid w:val="00B310B5"/>
    <w:rsid w:val="00B57933"/>
    <w:rsid w:val="00B81BEC"/>
    <w:rsid w:val="00B85165"/>
    <w:rsid w:val="00C06D00"/>
    <w:rsid w:val="00C37697"/>
    <w:rsid w:val="00C82A96"/>
    <w:rsid w:val="00C8651B"/>
    <w:rsid w:val="00C94E3C"/>
    <w:rsid w:val="00CB7D32"/>
    <w:rsid w:val="00CC5B66"/>
    <w:rsid w:val="00D03BE8"/>
    <w:rsid w:val="00DA1915"/>
    <w:rsid w:val="00DD415C"/>
    <w:rsid w:val="00DE4BBF"/>
    <w:rsid w:val="00DF17D0"/>
    <w:rsid w:val="00E018D0"/>
    <w:rsid w:val="00E349D5"/>
    <w:rsid w:val="00E40D30"/>
    <w:rsid w:val="00E7252F"/>
    <w:rsid w:val="00E736B1"/>
    <w:rsid w:val="00EB0DA6"/>
    <w:rsid w:val="00ED24E6"/>
    <w:rsid w:val="00EE667C"/>
    <w:rsid w:val="00F022A3"/>
    <w:rsid w:val="00F173BA"/>
    <w:rsid w:val="00F55873"/>
    <w:rsid w:val="00F674D0"/>
    <w:rsid w:val="00F71C28"/>
    <w:rsid w:val="00F8430B"/>
    <w:rsid w:val="00FB3E2F"/>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Kehatekst">
    <w:name w:val="Body Text"/>
    <w:basedOn w:val="Normaallaad"/>
    <w:link w:val="KehatekstMrk"/>
    <w:uiPriority w:val="99"/>
    <w:unhideWhenUsed/>
    <w:rsid w:val="00800289"/>
    <w:pPr>
      <w:spacing w:after="120"/>
    </w:pPr>
  </w:style>
  <w:style w:type="character" w:customStyle="1" w:styleId="KehatekstMrk">
    <w:name w:val="Kehatekst Märk"/>
    <w:basedOn w:val="Liguvaikefont"/>
    <w:link w:val="Kehatekst"/>
    <w:uiPriority w:val="99"/>
    <w:rsid w:val="00800289"/>
    <w:rPr>
      <w:rFonts w:ascii="Arial" w:hAnsi="Arial"/>
      <w:sz w:val="20"/>
      <w:lang w:val="et-EE"/>
    </w:rPr>
  </w:style>
  <w:style w:type="paragraph" w:styleId="Loendilik">
    <w:name w:val="List Paragraph"/>
    <w:basedOn w:val="Normaallaad"/>
    <w:uiPriority w:val="34"/>
    <w:qFormat/>
    <w:rsid w:val="009B36F5"/>
    <w:pPr>
      <w:spacing w:after="160" w:line="256" w:lineRule="auto"/>
      <w:ind w:left="720"/>
      <w:contextualSpacing/>
    </w:pPr>
    <w:rPr>
      <w:rFonts w:asciiTheme="minorHAnsi" w:hAnsiTheme="minorHAnsi"/>
      <w:kern w:val="2"/>
      <w:sz w:val="22"/>
      <w:szCs w:val="22"/>
      <w14:ligatures w14:val="standardContextual"/>
    </w:rPr>
  </w:style>
  <w:style w:type="character" w:styleId="Lahendamatamainimine">
    <w:name w:val="Unresolved Mention"/>
    <w:basedOn w:val="Liguvaikefont"/>
    <w:uiPriority w:val="99"/>
    <w:semiHidden/>
    <w:unhideWhenUsed/>
    <w:rsid w:val="009F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1602">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586919183">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3" Type="http://schemas.openxmlformats.org/officeDocument/2006/relationships/hyperlink" Target="mailto:talrk.info@kohus.ee" TargetMode="External"/><Relationship Id="rId2" Type="http://schemas.openxmlformats.org/officeDocument/2006/relationships/hyperlink" Target="http://www.kohus.ee" TargetMode="External"/><Relationship Id="rId1" Type="http://schemas.openxmlformats.org/officeDocument/2006/relationships/hyperlink" Target="mailto:talrk.info@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3CDDB-AFD6-47EA-AC11-B03C3CC4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7860</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Kristi Arro</cp:lastModifiedBy>
  <cp:revision>4</cp:revision>
  <cp:lastPrinted>2024-09-21T09:50:00Z</cp:lastPrinted>
  <dcterms:created xsi:type="dcterms:W3CDTF">2024-09-23T05:41:00Z</dcterms:created>
  <dcterms:modified xsi:type="dcterms:W3CDTF">2024-09-23T05:47:00Z</dcterms:modified>
</cp:coreProperties>
</file>